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D62" w:rsidRPr="001B249E" w:rsidRDefault="002544F4" w:rsidP="00AD7148">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bookmarkStart w:id="0" w:name="_GoBack"/>
      <w:bookmarkEnd w:id="0"/>
      <w:r w:rsidRPr="001B249E">
        <w:rPr>
          <w:rFonts w:ascii="Times New Roman" w:eastAsia="Times New Roman" w:hAnsi="Times New Roman" w:cs="Times New Roman"/>
          <w:b/>
          <w:bCs/>
          <w:kern w:val="36"/>
          <w:sz w:val="48"/>
          <w:szCs w:val="48"/>
          <w:lang w:eastAsia="it-IT"/>
        </w:rPr>
        <w:t>Perché</w:t>
      </w:r>
      <w:r w:rsidR="009E4D62" w:rsidRPr="001B249E">
        <w:rPr>
          <w:rFonts w:ascii="Times New Roman" w:eastAsia="Times New Roman" w:hAnsi="Times New Roman" w:cs="Times New Roman"/>
          <w:b/>
          <w:bCs/>
          <w:kern w:val="36"/>
          <w:sz w:val="48"/>
          <w:szCs w:val="48"/>
          <w:lang w:eastAsia="it-IT"/>
        </w:rPr>
        <w:t xml:space="preserve"> pensare </w:t>
      </w:r>
      <w:r w:rsidR="00497A7A" w:rsidRPr="001B249E">
        <w:rPr>
          <w:rFonts w:ascii="Times New Roman" w:eastAsia="Times New Roman" w:hAnsi="Times New Roman" w:cs="Times New Roman"/>
          <w:b/>
          <w:bCs/>
          <w:kern w:val="36"/>
          <w:sz w:val="48"/>
          <w:szCs w:val="48"/>
          <w:lang w:eastAsia="it-IT"/>
        </w:rPr>
        <w:t xml:space="preserve">di aprire le </w:t>
      </w:r>
      <w:r w:rsidR="009E4D62" w:rsidRPr="001B249E">
        <w:rPr>
          <w:rFonts w:ascii="Times New Roman" w:eastAsia="Times New Roman" w:hAnsi="Times New Roman" w:cs="Times New Roman"/>
          <w:b/>
          <w:bCs/>
          <w:kern w:val="36"/>
          <w:sz w:val="48"/>
          <w:szCs w:val="48"/>
          <w:lang w:eastAsia="it-IT"/>
        </w:rPr>
        <w:t>frontiere</w:t>
      </w:r>
    </w:p>
    <w:p w:rsidR="00AD7148" w:rsidRPr="001B249E" w:rsidRDefault="00AD7148" w:rsidP="00AD7148">
      <w:pPr>
        <w:spacing w:after="0" w:line="240" w:lineRule="auto"/>
        <w:rPr>
          <w:rFonts w:ascii="Times New Roman" w:eastAsia="Times New Roman" w:hAnsi="Times New Roman" w:cs="Times New Roman"/>
          <w:sz w:val="24"/>
          <w:szCs w:val="24"/>
          <w:lang w:eastAsia="it-IT"/>
        </w:rPr>
      </w:pPr>
      <w:proofErr w:type="spellStart"/>
      <w:r w:rsidRPr="001B249E">
        <w:rPr>
          <w:rFonts w:ascii="Times New Roman" w:eastAsia="Times New Roman" w:hAnsi="Times New Roman" w:cs="Times New Roman"/>
          <w:b/>
          <w:bCs/>
          <w:sz w:val="24"/>
          <w:szCs w:val="24"/>
          <w:lang w:eastAsia="it-IT"/>
        </w:rPr>
        <w:t>Idil</w:t>
      </w:r>
      <w:proofErr w:type="spellEnd"/>
      <w:r w:rsidRPr="001B249E">
        <w:rPr>
          <w:rFonts w:ascii="Times New Roman" w:eastAsia="Times New Roman" w:hAnsi="Times New Roman" w:cs="Times New Roman"/>
          <w:b/>
          <w:bCs/>
          <w:sz w:val="24"/>
          <w:szCs w:val="24"/>
          <w:lang w:eastAsia="it-IT"/>
        </w:rPr>
        <w:t xml:space="preserve"> </w:t>
      </w:r>
      <w:proofErr w:type="spellStart"/>
      <w:r w:rsidRPr="001B249E">
        <w:rPr>
          <w:rFonts w:ascii="Times New Roman" w:eastAsia="Times New Roman" w:hAnsi="Times New Roman" w:cs="Times New Roman"/>
          <w:b/>
          <w:bCs/>
          <w:sz w:val="24"/>
          <w:szCs w:val="24"/>
          <w:lang w:eastAsia="it-IT"/>
        </w:rPr>
        <w:t>Atak</w:t>
      </w:r>
      <w:proofErr w:type="spellEnd"/>
      <w:r w:rsidRPr="001B249E">
        <w:rPr>
          <w:rFonts w:ascii="Times New Roman" w:eastAsia="Times New Roman" w:hAnsi="Times New Roman" w:cs="Times New Roman"/>
          <w:b/>
          <w:bCs/>
          <w:sz w:val="24"/>
          <w:szCs w:val="24"/>
          <w:lang w:eastAsia="it-IT"/>
        </w:rPr>
        <w:t xml:space="preserve"> et </w:t>
      </w:r>
      <w:proofErr w:type="spellStart"/>
      <w:r w:rsidRPr="001B249E">
        <w:rPr>
          <w:rFonts w:ascii="Times New Roman" w:eastAsia="Times New Roman" w:hAnsi="Times New Roman" w:cs="Times New Roman"/>
          <w:b/>
          <w:bCs/>
          <w:sz w:val="24"/>
          <w:szCs w:val="24"/>
          <w:lang w:eastAsia="it-IT"/>
        </w:rPr>
        <w:t>Speranta</w:t>
      </w:r>
      <w:proofErr w:type="spellEnd"/>
      <w:r w:rsidRPr="001B249E">
        <w:rPr>
          <w:rFonts w:ascii="Times New Roman" w:eastAsia="Times New Roman" w:hAnsi="Times New Roman" w:cs="Times New Roman"/>
          <w:b/>
          <w:bCs/>
          <w:sz w:val="24"/>
          <w:szCs w:val="24"/>
          <w:lang w:eastAsia="it-IT"/>
        </w:rPr>
        <w:t xml:space="preserve"> </w:t>
      </w:r>
      <w:proofErr w:type="spellStart"/>
      <w:r w:rsidRPr="001B249E">
        <w:rPr>
          <w:rFonts w:ascii="Times New Roman" w:eastAsia="Times New Roman" w:hAnsi="Times New Roman" w:cs="Times New Roman"/>
          <w:b/>
          <w:bCs/>
          <w:sz w:val="24"/>
          <w:szCs w:val="24"/>
          <w:lang w:eastAsia="it-IT"/>
        </w:rPr>
        <w:t>Dumitru</w:t>
      </w:r>
      <w:proofErr w:type="spellEnd"/>
      <w:r w:rsidRPr="001B249E">
        <w:rPr>
          <w:rFonts w:ascii="Times New Roman" w:eastAsia="Times New Roman" w:hAnsi="Times New Roman" w:cs="Times New Roman"/>
          <w:b/>
          <w:bCs/>
          <w:sz w:val="24"/>
          <w:szCs w:val="24"/>
          <w:lang w:eastAsia="it-IT"/>
        </w:rPr>
        <w:t xml:space="preserve"> </w:t>
      </w:r>
    </w:p>
    <w:p w:rsidR="00B75422" w:rsidRPr="001B249E" w:rsidRDefault="00B75422"/>
    <w:p w:rsidR="0070047C" w:rsidRPr="001B249E" w:rsidRDefault="00A244B2" w:rsidP="001B249E">
      <w:pPr>
        <w:pStyle w:val="texte"/>
        <w:jc w:val="both"/>
      </w:pPr>
      <w:r w:rsidRPr="001B249E">
        <w:t xml:space="preserve">Nel XIX° secolo, era più facile attraversare l’Atlantico di quanto non sia </w:t>
      </w:r>
      <w:r w:rsidR="00A11D53" w:rsidRPr="001B249E">
        <w:t xml:space="preserve">facile </w:t>
      </w:r>
      <w:r w:rsidRPr="001B249E">
        <w:t>oggi attraversare il Mediterraneo.</w:t>
      </w:r>
    </w:p>
    <w:p w:rsidR="003731F4" w:rsidRPr="001B249E" w:rsidRDefault="003731F4" w:rsidP="001B249E">
      <w:pPr>
        <w:pStyle w:val="texte"/>
        <w:jc w:val="both"/>
      </w:pPr>
      <w:r w:rsidRPr="001B249E">
        <w:t xml:space="preserve">Se la traversata era </w:t>
      </w:r>
      <w:r w:rsidR="00DB03BE" w:rsidRPr="001B249E">
        <w:t>più vantaggiosa</w:t>
      </w:r>
      <w:r w:rsidRPr="001B249E">
        <w:t xml:space="preserve"> per la durata, il prezzo del viaggio e il numero dei migranti non avevano niente di paragonabile con l’attuale attraversata del </w:t>
      </w:r>
      <w:r w:rsidR="001B249E" w:rsidRPr="001B249E">
        <w:t>Mediterraneo</w:t>
      </w:r>
      <w:r w:rsidRPr="001B249E">
        <w:t>.</w:t>
      </w:r>
      <w:r w:rsidR="00497A7A" w:rsidRPr="001B249E">
        <w:t xml:space="preserve">  </w:t>
      </w:r>
    </w:p>
    <w:p w:rsidR="00863288" w:rsidRPr="001B249E" w:rsidRDefault="00497A7A" w:rsidP="001B249E">
      <w:pPr>
        <w:pStyle w:val="texte"/>
        <w:jc w:val="both"/>
      </w:pPr>
      <w:r w:rsidRPr="001B249E">
        <w:t xml:space="preserve">Per esempio nel 1903, </w:t>
      </w:r>
      <w:r w:rsidR="00731BF5" w:rsidRPr="001B249E">
        <w:t>in una</w:t>
      </w:r>
      <w:r w:rsidR="00863288" w:rsidRPr="001B249E">
        <w:t xml:space="preserve"> sola</w:t>
      </w:r>
      <w:r w:rsidR="00731BF5" w:rsidRPr="001B249E">
        <w:t xml:space="preserve"> giornata</w:t>
      </w:r>
      <w:r w:rsidR="00863288" w:rsidRPr="001B249E">
        <w:t>,</w:t>
      </w:r>
      <w:r w:rsidR="00731BF5" w:rsidRPr="001B249E">
        <w:t xml:space="preserve"> più di 12.000 migranti potevano arrivare nel solo porto di </w:t>
      </w:r>
      <w:proofErr w:type="spellStart"/>
      <w:r w:rsidR="00731BF5" w:rsidRPr="001B249E">
        <w:t>Ellis</w:t>
      </w:r>
      <w:proofErr w:type="spellEnd"/>
      <w:r w:rsidR="00731BF5" w:rsidRPr="001B249E">
        <w:t xml:space="preserve"> Island.</w:t>
      </w:r>
      <w:r w:rsidR="00DB03BE" w:rsidRPr="001B249E">
        <w:t xml:space="preserve"> </w:t>
      </w:r>
      <w:r w:rsidR="00D504EB" w:rsidRPr="001B249E">
        <w:t xml:space="preserve">I migranti europei si ammassavano a migliaia </w:t>
      </w:r>
      <w:r w:rsidRPr="001B249E">
        <w:t>nelle navi</w:t>
      </w:r>
      <w:r w:rsidR="00E743D6" w:rsidRPr="001B249E">
        <w:rPr>
          <w:color w:val="0070C0"/>
        </w:rPr>
        <w:t xml:space="preserve"> </w:t>
      </w:r>
      <w:r w:rsidR="00D504EB" w:rsidRPr="001B249E">
        <w:t>pagando l’equivalente da 175 a 275 dollari per una traversata molto scomoda che poteva durare da 8 a 14 giorni.</w:t>
      </w:r>
      <w:r w:rsidR="00DB03BE" w:rsidRPr="001B249E">
        <w:t xml:space="preserve"> </w:t>
      </w:r>
      <w:r w:rsidR="00776F69" w:rsidRPr="001B249E">
        <w:t>Si stima che più di 55 milioni di migranti europei abbiano cosi attraversato l’Atlantico  tra il 1840 e il 1914 (</w:t>
      </w:r>
      <w:proofErr w:type="spellStart"/>
      <w:r w:rsidR="00776F69" w:rsidRPr="001B249E">
        <w:t>Hatton</w:t>
      </w:r>
      <w:proofErr w:type="spellEnd"/>
      <w:r w:rsidR="00776F69" w:rsidRPr="001B249E">
        <w:t xml:space="preserve"> e </w:t>
      </w:r>
      <w:proofErr w:type="spellStart"/>
      <w:r w:rsidR="00776F69" w:rsidRPr="001B249E">
        <w:t>Williamson</w:t>
      </w:r>
      <w:proofErr w:type="spellEnd"/>
      <w:r w:rsidR="00776F69" w:rsidRPr="001B249E">
        <w:t xml:space="preserve">, 1998; </w:t>
      </w:r>
      <w:proofErr w:type="spellStart"/>
      <w:r w:rsidR="00776F69" w:rsidRPr="001B249E">
        <w:t>Ferenczi</w:t>
      </w:r>
      <w:proofErr w:type="spellEnd"/>
      <w:r w:rsidR="00776F69" w:rsidRPr="001B249E">
        <w:t xml:space="preserve"> e </w:t>
      </w:r>
      <w:proofErr w:type="spellStart"/>
      <w:r w:rsidR="00776F69" w:rsidRPr="001B249E">
        <w:t>Willcox</w:t>
      </w:r>
      <w:proofErr w:type="spellEnd"/>
      <w:r w:rsidR="00776F69" w:rsidRPr="001B249E">
        <w:t>, 1929 ). A questi bisogna aggiungere circa 100 milioni di migranti verso il sud e il nord dell’Asia (</w:t>
      </w:r>
      <w:proofErr w:type="spellStart"/>
      <w:r w:rsidR="00776F69" w:rsidRPr="001B249E">
        <w:t>McKeown</w:t>
      </w:r>
      <w:proofErr w:type="spellEnd"/>
      <w:r w:rsidR="00776F69" w:rsidRPr="001B249E">
        <w:t>, 2004).</w:t>
      </w:r>
      <w:r w:rsidR="00DB03BE" w:rsidRPr="001B249E">
        <w:t xml:space="preserve"> </w:t>
      </w:r>
      <w:r w:rsidR="00776F69" w:rsidRPr="001B249E">
        <w:t xml:space="preserve">Un secolo più tardi, con  oltre 100 milioni di migranti su una popolazione mondiale tre volte </w:t>
      </w:r>
      <w:r w:rsidR="00863288" w:rsidRPr="001B249E">
        <w:t>maggiore</w:t>
      </w:r>
      <w:r w:rsidR="00776F69" w:rsidRPr="001B249E">
        <w:t xml:space="preserve">, le migrazioni sono viste come un problema che ha bisogno di nuove regole </w:t>
      </w:r>
      <w:r w:rsidR="00863288" w:rsidRPr="001B249E">
        <w:t xml:space="preserve">a fronte della </w:t>
      </w:r>
      <w:r w:rsidR="001C37E9" w:rsidRPr="001B249E">
        <w:t>dr</w:t>
      </w:r>
      <w:r w:rsidR="00863288" w:rsidRPr="001B249E">
        <w:t xml:space="preserve">astica chiusura delle frontiere.    </w:t>
      </w:r>
    </w:p>
    <w:p w:rsidR="00863288" w:rsidRPr="001B249E" w:rsidRDefault="003E0305" w:rsidP="001B249E">
      <w:pPr>
        <w:pStyle w:val="texte"/>
        <w:jc w:val="both"/>
      </w:pPr>
      <w:r w:rsidRPr="001B249E">
        <w:t>Gli studiosi considerano l’anno 1914 come la fine dell’epoca della migrazione di massa.</w:t>
      </w:r>
      <w:r w:rsidRPr="001B249E">
        <w:rPr>
          <w:vertAlign w:val="superscript"/>
        </w:rPr>
        <w:t>2</w:t>
      </w:r>
      <w:r w:rsidR="00497A7A" w:rsidRPr="001B249E">
        <w:t xml:space="preserve"> </w:t>
      </w:r>
      <w:r w:rsidRPr="001B249E">
        <w:t>L’inizio della Grande Guerra ha avuto l’effetto di introdurre il regime dei passaporti obbligatori che non esistevano se non in certi paesi (Impero ottomano, Russia, Romania, Bulgaria, ecc.)</w:t>
      </w:r>
      <w:r w:rsidR="00AF5525" w:rsidRPr="001B249E">
        <w:t xml:space="preserve"> </w:t>
      </w:r>
      <w:r w:rsidRPr="001B249E">
        <w:t>Nel 1914, i paesi belligeranti, la Francia, la Germania, l’Italia, furono i primi ad introdurre l’obbligo dei passaporti, seguiti nel 1916-1917 dalla Spagna,</w:t>
      </w:r>
      <w:r w:rsidR="00DB03BE" w:rsidRPr="001B249E">
        <w:t xml:space="preserve"> dal</w:t>
      </w:r>
      <w:r w:rsidRPr="001B249E">
        <w:t xml:space="preserve">la Svizzera, </w:t>
      </w:r>
      <w:r w:rsidR="00DB03BE" w:rsidRPr="001B249E">
        <w:t>dal</w:t>
      </w:r>
      <w:r w:rsidRPr="001B249E">
        <w:t xml:space="preserve">la Danimarca. </w:t>
      </w:r>
      <w:r w:rsidR="00193C8E" w:rsidRPr="001B249E">
        <w:t>Nel 1919, il trattato di Versailles, ann</w:t>
      </w:r>
      <w:r w:rsidR="00211379" w:rsidRPr="001B249E">
        <w:t>u</w:t>
      </w:r>
      <w:r w:rsidR="00193C8E" w:rsidRPr="001B249E">
        <w:t xml:space="preserve">ncia la creazione della Società delle Nazioni e </w:t>
      </w:r>
      <w:r w:rsidR="00211379" w:rsidRPr="001B249E">
        <w:t>menziona, nell’articolo 23 (e), il ripristino della libertà « di transito » di prima della guerra.</w:t>
      </w:r>
      <w:r w:rsidR="00AF5525" w:rsidRPr="001B249E">
        <w:t xml:space="preserve"> </w:t>
      </w:r>
      <w:r w:rsidR="00211379" w:rsidRPr="001B249E">
        <w:t>Affermando che una pace duratura non può essere assicurata senza giustizia sociale, il Patto prevede la creazione di un organismo permanente, incaricato di d</w:t>
      </w:r>
      <w:r w:rsidR="00AF5525" w:rsidRPr="001B249E">
        <w:t>i</w:t>
      </w:r>
      <w:r w:rsidR="00211379" w:rsidRPr="001B249E">
        <w:t xml:space="preserve">fendere i diritti dei lavoratori, compresi « i lavoratori occupati all’estero ». </w:t>
      </w:r>
      <w:r w:rsidR="00AF5525" w:rsidRPr="001B249E">
        <w:t xml:space="preserve"> </w:t>
      </w:r>
      <w:r w:rsidR="008B1F84" w:rsidRPr="001B249E">
        <w:t xml:space="preserve">Per questo, l’Ufficio internazionale del Lavoro costituirà una Commissione per l’emigrazione internazionale, e contemporaneamente i partecipanti alla Conferenza di Parigi nel 1920 discuteranno </w:t>
      </w:r>
      <w:r w:rsidR="00E743D6" w:rsidRPr="001B249E">
        <w:t>se</w:t>
      </w:r>
      <w:r w:rsidR="008B1F84" w:rsidRPr="001B249E">
        <w:t xml:space="preserve"> introdurre un passaporto uniforme uguale per tutti i paesi, che </w:t>
      </w:r>
      <w:r w:rsidR="00E743D6" w:rsidRPr="001B249E">
        <w:t>potrebbe facilitare</w:t>
      </w:r>
      <w:r w:rsidR="008B1F84" w:rsidRPr="001B249E">
        <w:t xml:space="preserve"> la libertà di transito </w:t>
      </w:r>
      <w:r w:rsidR="00D57F0A" w:rsidRPr="001B249E">
        <w:t>dei</w:t>
      </w:r>
      <w:r w:rsidR="008B1F84" w:rsidRPr="001B249E">
        <w:t xml:space="preserve"> lavoratori, permettendo allo stesso tempo un controllo più rapido da parte delle autorità.</w:t>
      </w:r>
    </w:p>
    <w:p w:rsidR="00E73A6C" w:rsidRPr="001B249E" w:rsidRDefault="000F5AD5" w:rsidP="001B249E">
      <w:pPr>
        <w:pStyle w:val="texte"/>
        <w:jc w:val="both"/>
      </w:pPr>
      <w:r w:rsidRPr="001B249E">
        <w:t xml:space="preserve">Un secolo dopo, non solamente i desideri dei firmatari del trattato di Versailles sembrano dimenticati per sempre, ma i firmatari della </w:t>
      </w:r>
      <w:r w:rsidRPr="001B249E">
        <w:rPr>
          <w:i/>
        </w:rPr>
        <w:t>Dichiarazione universale dei diritti dell’uomo</w:t>
      </w:r>
      <w:r w:rsidRPr="001B249E">
        <w:t xml:space="preserve"> </w:t>
      </w:r>
      <w:r w:rsidRPr="001B249E">
        <w:rPr>
          <w:vertAlign w:val="superscript"/>
        </w:rPr>
        <w:t>3</w:t>
      </w:r>
      <w:r w:rsidRPr="001B249E">
        <w:t>, che si impegnavano nel 1948 a garantire il diritto di « ogni persona (…) di lasciare ogni paese, ivi compreso il proprio</w:t>
      </w:r>
      <w:r w:rsidR="00511842" w:rsidRPr="001B249E">
        <w:t xml:space="preserve"> </w:t>
      </w:r>
      <w:r w:rsidR="00511842" w:rsidRPr="001B249E">
        <w:rPr>
          <w:vertAlign w:val="superscript"/>
        </w:rPr>
        <w:t>4</w:t>
      </w:r>
      <w:r w:rsidRPr="001B249E">
        <w:rPr>
          <w:vertAlign w:val="superscript"/>
        </w:rPr>
        <w:t> </w:t>
      </w:r>
      <w:r w:rsidRPr="001B249E">
        <w:t xml:space="preserve">», firmano al giorno d’oggi degli accordi che limitano l’esercizio di tale diritto. </w:t>
      </w:r>
      <w:r w:rsidR="00E73A6C" w:rsidRPr="001B249E">
        <w:t xml:space="preserve"> </w:t>
      </w:r>
      <w:r w:rsidR="00511842" w:rsidRPr="001B249E">
        <w:t xml:space="preserve">L’idea di facilitare la libertà di transito per mezzo di un passaporto uniforme è diventata incongrua in un mondo </w:t>
      </w:r>
      <w:r w:rsidR="000F1A1F" w:rsidRPr="001B249E">
        <w:t xml:space="preserve">dove persino il diritto di cercare asilo quando il proprio paese è in guerra diventa oggetto di disprezzo. Al giorno d’oggi, questi impegni sono così poco rispettati che le autorità europee </w:t>
      </w:r>
      <w:r w:rsidR="00E743D6" w:rsidRPr="001B249E">
        <w:t>dichiarano</w:t>
      </w:r>
      <w:r w:rsidR="000F1A1F" w:rsidRPr="001B249E">
        <w:t xml:space="preserve"> pubblicamente e senza alcuna riserva, </w:t>
      </w:r>
      <w:r w:rsidR="00E743D6" w:rsidRPr="001B249E">
        <w:t>che distruggeranno</w:t>
      </w:r>
      <w:r w:rsidR="000F1A1F" w:rsidRPr="001B249E">
        <w:t xml:space="preserve"> le imbarcazioni di coloro che si appresta</w:t>
      </w:r>
      <w:r w:rsidR="001B249E">
        <w:t>no ad esercitare i loro diritti</w:t>
      </w:r>
      <w:r w:rsidR="00E73A6C" w:rsidRPr="001B249E">
        <w:rPr>
          <w:vertAlign w:val="superscript"/>
        </w:rPr>
        <w:t>5</w:t>
      </w:r>
      <w:r w:rsidR="00E73A6C" w:rsidRPr="001B249E">
        <w:t>.</w:t>
      </w:r>
      <w:r w:rsidR="00AD7148" w:rsidRPr="001B249E">
        <w:t xml:space="preserve"> </w:t>
      </w:r>
      <w:r w:rsidR="00E73A6C" w:rsidRPr="001B249E">
        <w:t xml:space="preserve"> </w:t>
      </w:r>
      <w:r w:rsidR="001C1377" w:rsidRPr="001B249E">
        <w:t xml:space="preserve">Alcune persone che cercano di aggirare le considerevoli restrizioni alla libertà di circolazione e al diritto di cercare asilo rischiano la loro vita o muoiono prima di arrivare a destinazione. Coloro che ci arrivano spesso si trovano in situazioni di vulnerabilità e nessun paese « sviluppato » </w:t>
      </w:r>
      <w:r w:rsidR="000608AD" w:rsidRPr="001B249E">
        <w:t xml:space="preserve">ha finora firmato la </w:t>
      </w:r>
      <w:r w:rsidR="000608AD" w:rsidRPr="001B249E">
        <w:rPr>
          <w:i/>
        </w:rPr>
        <w:t>Convenzione internazionale sulla protezione dei diritti di tutti i lavoratori migranti e dei membri delle loro famiglie</w:t>
      </w:r>
      <w:r w:rsidR="000608AD" w:rsidRPr="001B249E">
        <w:t>.</w:t>
      </w:r>
      <w:r w:rsidR="00E73A6C" w:rsidRPr="001B249E">
        <w:t xml:space="preserve"> </w:t>
      </w:r>
    </w:p>
    <w:p w:rsidR="00046F99" w:rsidRPr="001B249E" w:rsidRDefault="00CF1642" w:rsidP="001B249E">
      <w:pPr>
        <w:pStyle w:val="texte"/>
        <w:jc w:val="both"/>
      </w:pPr>
      <w:r w:rsidRPr="001B249E">
        <w:lastRenderedPageBreak/>
        <w:t xml:space="preserve">Questo dossier di </w:t>
      </w:r>
      <w:proofErr w:type="spellStart"/>
      <w:r w:rsidRPr="001B249E">
        <w:rPr>
          <w:i/>
        </w:rPr>
        <w:t>Ethique</w:t>
      </w:r>
      <w:proofErr w:type="spellEnd"/>
      <w:r w:rsidRPr="001B249E">
        <w:rPr>
          <w:i/>
        </w:rPr>
        <w:t xml:space="preserve"> </w:t>
      </w:r>
      <w:proofErr w:type="spellStart"/>
      <w:r w:rsidRPr="001B249E">
        <w:rPr>
          <w:i/>
        </w:rPr>
        <w:t>publique</w:t>
      </w:r>
      <w:proofErr w:type="spellEnd"/>
      <w:r w:rsidRPr="001B249E">
        <w:t xml:space="preserve"> propone una riflessione su un secolo di aumentati controlli delle frontiere </w:t>
      </w:r>
      <w:r w:rsidR="00E743D6" w:rsidRPr="001B249E">
        <w:t xml:space="preserve">attuando </w:t>
      </w:r>
      <w:r w:rsidRPr="001B249E">
        <w:t xml:space="preserve">uno sforzo di immaginazione morale : quali sarebbero le conseguenze politiche, giuridiche, sociali, culturali, economiche della riapertura delle frontiere, e come </w:t>
      </w:r>
      <w:r w:rsidR="00E743D6" w:rsidRPr="001B249E">
        <w:t>considerare tali conseguenze</w:t>
      </w:r>
      <w:r w:rsidRPr="001B249E">
        <w:t xml:space="preserve"> dal punto di vista etico ? Questa riflessione ha già impegnato gli ambienti della ricerca e della politica internazionale. </w:t>
      </w:r>
      <w:r w:rsidR="000D5526" w:rsidRPr="001B249E">
        <w:t>Così, gli economisti hanno calcolato che un aumento del 3% della migrazione d</w:t>
      </w:r>
      <w:r w:rsidR="00EE0558" w:rsidRPr="001B249E">
        <w:t>i</w:t>
      </w:r>
      <w:r w:rsidR="000D5526" w:rsidRPr="001B249E">
        <w:t xml:space="preserve"> lavoro verso i paesi ricchi farebbe guadagnare ai paesi poveri due volte di più di quanto non otterrebbero da </w:t>
      </w:r>
      <w:r w:rsidR="00E743D6" w:rsidRPr="001B249E">
        <w:t>molte delle</w:t>
      </w:r>
      <w:r w:rsidR="000D5526" w:rsidRPr="001B249E">
        <w:t xml:space="preserve"> politiche di sviluppo (</w:t>
      </w:r>
      <w:proofErr w:type="spellStart"/>
      <w:r w:rsidR="000D5526" w:rsidRPr="001B249E">
        <w:t>Pritchett</w:t>
      </w:r>
      <w:proofErr w:type="spellEnd"/>
      <w:r w:rsidR="000D5526" w:rsidRPr="001B249E">
        <w:t>, 2006), mentre una apertura totale delle frontiere aumenterebbe considerevolmente il prodotto interno lordo mondiale (</w:t>
      </w:r>
      <w:proofErr w:type="spellStart"/>
      <w:r w:rsidR="000D5526" w:rsidRPr="001B249E">
        <w:t>Clemens</w:t>
      </w:r>
      <w:proofErr w:type="spellEnd"/>
      <w:r w:rsidR="000D5526" w:rsidRPr="001B249E">
        <w:t>, 2011) e raddoppierebbe quello dei paesi in via di sviluppo (</w:t>
      </w:r>
      <w:proofErr w:type="spellStart"/>
      <w:r w:rsidR="000D5526" w:rsidRPr="001B249E">
        <w:t>Kennan</w:t>
      </w:r>
      <w:proofErr w:type="spellEnd"/>
      <w:r w:rsidR="000D5526" w:rsidRPr="001B249E">
        <w:t>, 2013). Nello stesso tempo, le Nazioni Unite hanno tentato di introdurre la migrazione nel Programma di sviluppo per dopo il 2015 (</w:t>
      </w:r>
      <w:proofErr w:type="spellStart"/>
      <w:r w:rsidR="000D5526" w:rsidRPr="001B249E">
        <w:t>Dumitru</w:t>
      </w:r>
      <w:proofErr w:type="spellEnd"/>
      <w:r w:rsidR="000D5526" w:rsidRPr="001B249E">
        <w:t xml:space="preserve">, 2013). Numerose </w:t>
      </w:r>
      <w:r w:rsidR="00046F99" w:rsidRPr="001B249E">
        <w:t xml:space="preserve">organizzazioni non governative sottolineano </w:t>
      </w:r>
      <w:r w:rsidR="00E743D6" w:rsidRPr="001B249E">
        <w:t>i vantaggi nell</w:t>
      </w:r>
      <w:r w:rsidR="00046F99" w:rsidRPr="001B249E">
        <w:t>’economia</w:t>
      </w:r>
      <w:r w:rsidR="003660AA" w:rsidRPr="001B249E">
        <w:t>,</w:t>
      </w:r>
      <w:r w:rsidR="00046F99" w:rsidRPr="001B249E">
        <w:t xml:space="preserve"> </w:t>
      </w:r>
      <w:r w:rsidR="00844D76" w:rsidRPr="001B249E">
        <w:t>sia in termini di bilancio</w:t>
      </w:r>
      <w:r w:rsidR="003E1E92" w:rsidRPr="001B249E">
        <w:t xml:space="preserve"> </w:t>
      </w:r>
      <w:r w:rsidR="003660AA" w:rsidRPr="001B249E">
        <w:t xml:space="preserve"> che in </w:t>
      </w:r>
      <w:r w:rsidR="003E1E92" w:rsidRPr="001B249E">
        <w:t>numero di vite umane</w:t>
      </w:r>
      <w:r w:rsidR="003660AA" w:rsidRPr="001B249E">
        <w:t>,</w:t>
      </w:r>
      <w:r w:rsidR="00E743D6" w:rsidRPr="001B249E">
        <w:t xml:space="preserve"> che una apertura delle frontiere apporterebbe</w:t>
      </w:r>
      <w:r w:rsidR="003E1E92" w:rsidRPr="001B249E">
        <w:t>.</w:t>
      </w:r>
    </w:p>
    <w:p w:rsidR="00FB5FF1" w:rsidRPr="001B249E" w:rsidRDefault="00FB5FF1" w:rsidP="001B249E">
      <w:pPr>
        <w:pStyle w:val="texte"/>
        <w:jc w:val="both"/>
      </w:pPr>
      <w:r w:rsidRPr="001B249E">
        <w:t xml:space="preserve">Ogni riflessione sull’apertura delle frontiere cozza necessariamente contro il concetto di sovranità nazionale e di frontiera, compreso quando si consideri </w:t>
      </w:r>
      <w:r w:rsidR="003660AA" w:rsidRPr="001B249E">
        <w:t xml:space="preserve">la </w:t>
      </w:r>
      <w:proofErr w:type="spellStart"/>
      <w:r w:rsidR="003660AA" w:rsidRPr="003E40C2">
        <w:rPr>
          <w:i/>
        </w:rPr>
        <w:t>governance</w:t>
      </w:r>
      <w:proofErr w:type="spellEnd"/>
      <w:r w:rsidRPr="001B249E">
        <w:t xml:space="preserve"> mondiale delle migrazioni. La libertà di circolazione, la giustizia, il cosmopolitismo, l’ospitalità e la cittadinanza costituiscono pertanto dei fili conduttori per riflettere su nuove sfide etiche. Parecchi articoli di questo numero della rivista </w:t>
      </w:r>
      <w:proofErr w:type="spellStart"/>
      <w:r w:rsidRPr="001B249E">
        <w:rPr>
          <w:i/>
        </w:rPr>
        <w:t>Ethique</w:t>
      </w:r>
      <w:proofErr w:type="spellEnd"/>
      <w:r w:rsidRPr="001B249E">
        <w:rPr>
          <w:i/>
        </w:rPr>
        <w:t xml:space="preserve"> </w:t>
      </w:r>
      <w:proofErr w:type="spellStart"/>
      <w:r w:rsidRPr="001B249E">
        <w:rPr>
          <w:i/>
        </w:rPr>
        <w:t>publique</w:t>
      </w:r>
      <w:proofErr w:type="spellEnd"/>
      <w:r w:rsidRPr="001B249E">
        <w:t xml:space="preserve"> esploran</w:t>
      </w:r>
      <w:r w:rsidR="00B25597" w:rsidRPr="001B249E">
        <w:t xml:space="preserve">o </w:t>
      </w:r>
      <w:r w:rsidRPr="001B249E">
        <w:t>il senso e l’evoluzione di questi concetti in un contesto di mondializzazione e di controllo delle migrazi</w:t>
      </w:r>
      <w:r w:rsidR="00B25597" w:rsidRPr="001B249E">
        <w:t>o</w:t>
      </w:r>
      <w:r w:rsidRPr="001B249E">
        <w:t>ni</w:t>
      </w:r>
      <w:r w:rsidR="00B25597" w:rsidRPr="001B249E">
        <w:t>.</w:t>
      </w:r>
      <w:r w:rsidRPr="001B249E">
        <w:t xml:space="preserve"> </w:t>
      </w:r>
    </w:p>
    <w:p w:rsidR="00F30423" w:rsidRPr="001B249E" w:rsidRDefault="00474CF7" w:rsidP="001B249E">
      <w:pPr>
        <w:pStyle w:val="texte"/>
        <w:jc w:val="both"/>
      </w:pPr>
      <w:r w:rsidRPr="001B249E">
        <w:t xml:space="preserve">Magali Bessone osserva che le difficoltà </w:t>
      </w:r>
      <w:r w:rsidR="00C6283E" w:rsidRPr="001B249E">
        <w:t>di</w:t>
      </w:r>
      <w:r w:rsidRPr="001B249E">
        <w:t xml:space="preserve"> pensare all’apertura delle frontiere sono profonde. Nel suo articolo, mette uno sguardo critico sui discorsi e sulle politiche che concettualizzano l’immigrazione in termini di ospitalità ed accoglimento, creando così una dicotomia tra cittadini e stranieri e </w:t>
      </w:r>
      <w:r w:rsidR="003660AA" w:rsidRPr="001B249E">
        <w:t>avendo come effetto quello di</w:t>
      </w:r>
      <w:r w:rsidRPr="001B249E">
        <w:t xml:space="preserve"> escludere gli stranieri dalla sfera legittima della politica e dei diritti.</w:t>
      </w:r>
      <w:r w:rsidR="00BA17D6" w:rsidRPr="001B249E">
        <w:t xml:space="preserve"> </w:t>
      </w:r>
      <w:r w:rsidR="00F30423" w:rsidRPr="001B249E">
        <w:t xml:space="preserve">L’autrice dimostra come la concettualizzazione dell’immigrazione come ospitalità, </w:t>
      </w:r>
      <w:proofErr w:type="spellStart"/>
      <w:r w:rsidR="00F30423" w:rsidRPr="001B249E">
        <w:t>cioé</w:t>
      </w:r>
      <w:proofErr w:type="spellEnd"/>
      <w:r w:rsidR="00F30423" w:rsidRPr="001B249E">
        <w:t xml:space="preserve"> una norma di benevolenza</w:t>
      </w:r>
      <w:r w:rsidR="00376943" w:rsidRPr="001B249E">
        <w:t xml:space="preserve"> che </w:t>
      </w:r>
      <w:r w:rsidR="00B22C1F" w:rsidRPr="001B249E">
        <w:t>attiene al</w:t>
      </w:r>
      <w:r w:rsidR="00376943" w:rsidRPr="001B249E">
        <w:t xml:space="preserve">la sfera privata, permette di </w:t>
      </w:r>
      <w:r w:rsidR="00B22C1F" w:rsidRPr="001B249E">
        <w:t>giustificare il mantenimento</w:t>
      </w:r>
      <w:r w:rsidR="00376943" w:rsidRPr="001B249E">
        <w:t xml:space="preserve">, </w:t>
      </w:r>
      <w:r w:rsidR="00B22C1F" w:rsidRPr="001B249E">
        <w:t>vedere l’irrigidimento</w:t>
      </w:r>
      <w:r w:rsidR="00BA17D6" w:rsidRPr="001B249E">
        <w:t xml:space="preserve"> </w:t>
      </w:r>
      <w:r w:rsidR="00B22C1F" w:rsidRPr="001B249E">
        <w:t xml:space="preserve"> dei rapporti differenziati in un territorio anzitutto definito come luogo di appartenenza di coloro che accolgono. Questa perorazione per mettere effettivamente  in opera la non discriminazione fondata sullo statuto legale, </w:t>
      </w:r>
      <w:r w:rsidR="006A78BD" w:rsidRPr="001B249E">
        <w:t>impegna anche ad una riflessione sul concetto di cittadinanza. Bessone sottolinea come sia  importante dare ad ogni persona residente sul territorio di uno Stato e desid</w:t>
      </w:r>
      <w:r w:rsidR="003E40C2">
        <w:t xml:space="preserve">erosa di essere impegnata nel dibattito </w:t>
      </w:r>
      <w:r w:rsidR="006A78BD" w:rsidRPr="001B249E">
        <w:t>democratic</w:t>
      </w:r>
      <w:r w:rsidR="003E40C2">
        <w:t>o</w:t>
      </w:r>
      <w:r w:rsidR="006A78BD" w:rsidRPr="001B249E">
        <w:t xml:space="preserve"> sulle norme di cittadinanza</w:t>
      </w:r>
      <w:r w:rsidR="00135C93" w:rsidRPr="001B249E">
        <w:t>,</w:t>
      </w:r>
      <w:r w:rsidR="006A78BD" w:rsidRPr="001B249E">
        <w:t xml:space="preserve"> la capacità legale e politica di farlo.</w:t>
      </w:r>
      <w:r w:rsidR="00B22C1F" w:rsidRPr="001B249E">
        <w:t xml:space="preserve"> </w:t>
      </w:r>
    </w:p>
    <w:p w:rsidR="00947B67" w:rsidRPr="001B249E" w:rsidRDefault="00DE0585" w:rsidP="001B249E">
      <w:pPr>
        <w:pStyle w:val="texte"/>
        <w:jc w:val="both"/>
        <w:rPr>
          <w:i/>
        </w:rPr>
      </w:pPr>
      <w:r w:rsidRPr="001B249E">
        <w:t xml:space="preserve">L’articolo di Alessandra </w:t>
      </w:r>
      <w:proofErr w:type="spellStart"/>
      <w:r w:rsidRPr="001B249E">
        <w:t>Sciurba</w:t>
      </w:r>
      <w:proofErr w:type="spellEnd"/>
      <w:r w:rsidRPr="001B249E">
        <w:t xml:space="preserve"> e Filippo </w:t>
      </w:r>
      <w:proofErr w:type="spellStart"/>
      <w:r w:rsidRPr="001B249E">
        <w:t>Furri</w:t>
      </w:r>
      <w:proofErr w:type="spellEnd"/>
      <w:r w:rsidRPr="001B249E">
        <w:t xml:space="preserve"> fa eco a quello di Bessone </w:t>
      </w:r>
      <w:r w:rsidR="00495449" w:rsidRPr="001B249E">
        <w:t xml:space="preserve">in </w:t>
      </w:r>
      <w:r w:rsidRPr="001B249E">
        <w:t xml:space="preserve">quanto critica la visione esclusivamente umanitaria nella comprensione dei diritti alla libera circolazione, insieme con una visione dell’immigrazione come di una situazione rara ed eccezionale. </w:t>
      </w:r>
      <w:r w:rsidR="00495449" w:rsidRPr="001B249E">
        <w:t xml:space="preserve">Gli autori descrivono le condizioni intellettuali che hanno condotto alla redazione della </w:t>
      </w:r>
      <w:r w:rsidR="00495449" w:rsidRPr="001B249E">
        <w:rPr>
          <w:i/>
        </w:rPr>
        <w:t xml:space="preserve">Carta di Lampedusa </w:t>
      </w:r>
      <w:r w:rsidR="00495449" w:rsidRPr="001B249E">
        <w:t xml:space="preserve">affermando una libertà di circolazione per tutti e tutto . Ben motivata dal naufragio di 368 persone che </w:t>
      </w:r>
      <w:r w:rsidR="00C23630" w:rsidRPr="001B249E">
        <w:t xml:space="preserve">volevano attraversare il Mediterraneo nell’ottobre 2013, </w:t>
      </w:r>
      <w:r w:rsidR="003B15B4" w:rsidRPr="001B249E">
        <w:t>l</w:t>
      </w:r>
      <w:r w:rsidR="00C23630" w:rsidRPr="001B249E">
        <w:t xml:space="preserve">a </w:t>
      </w:r>
      <w:r w:rsidR="00C23630" w:rsidRPr="001B249E">
        <w:rPr>
          <w:i/>
        </w:rPr>
        <w:t>Carta di Lampedusa</w:t>
      </w:r>
      <w:r w:rsidR="00C23630" w:rsidRPr="001B249E">
        <w:t xml:space="preserve"> è ispirata ad un pensiero radicalmente </w:t>
      </w:r>
      <w:r w:rsidR="003B15B4" w:rsidRPr="001B249E">
        <w:t>eg</w:t>
      </w:r>
      <w:r w:rsidR="00402F4A" w:rsidRPr="001B249E">
        <w:t>u</w:t>
      </w:r>
      <w:r w:rsidR="003B15B4" w:rsidRPr="001B249E">
        <w:t>alitario in materia di diritti alla mobilità</w:t>
      </w:r>
      <w:r w:rsidR="003B15B4" w:rsidRPr="001B249E">
        <w:rPr>
          <w:i/>
        </w:rPr>
        <w:t xml:space="preserve">. </w:t>
      </w:r>
      <w:r w:rsidR="00BA17D6" w:rsidRPr="001B249E">
        <w:rPr>
          <w:i/>
        </w:rPr>
        <w:t xml:space="preserve"> </w:t>
      </w:r>
      <w:r w:rsidR="00947B67" w:rsidRPr="001B249E">
        <w:t xml:space="preserve">Gli autori difendono </w:t>
      </w:r>
      <w:r w:rsidR="00135C93" w:rsidRPr="001B249E">
        <w:t>un modo</w:t>
      </w:r>
      <w:r w:rsidR="00947B67" w:rsidRPr="001B249E">
        <w:t xml:space="preserve"> alternativ</w:t>
      </w:r>
      <w:r w:rsidR="00135C93" w:rsidRPr="001B249E">
        <w:t>o</w:t>
      </w:r>
      <w:r w:rsidR="00947B67" w:rsidRPr="001B249E">
        <w:t xml:space="preserve"> di pensare ai diritti dell’uomo « dal basso » e che non dipende dal loro riconoscimento da parte degli Stati. Questa visione si trova in parte </w:t>
      </w:r>
      <w:r w:rsidR="00094987" w:rsidRPr="001B249E">
        <w:t xml:space="preserve">adempiuta nell’iniziativa associativa transnazionale che ha presieduto alla redazione della Carta. </w:t>
      </w:r>
    </w:p>
    <w:p w:rsidR="00DB51A1" w:rsidRPr="001B249E" w:rsidRDefault="00094987" w:rsidP="001B249E">
      <w:pPr>
        <w:pStyle w:val="texte"/>
        <w:jc w:val="both"/>
      </w:pPr>
      <w:r w:rsidRPr="001B249E">
        <w:t xml:space="preserve">L’analisi di Isabelle </w:t>
      </w:r>
      <w:proofErr w:type="spellStart"/>
      <w:r w:rsidRPr="001B249E">
        <w:t>Sauriol</w:t>
      </w:r>
      <w:proofErr w:type="spellEnd"/>
      <w:r w:rsidRPr="001B249E">
        <w:t xml:space="preserve"> consolida questa visione. Nel suo articolo, dimostra che il diritto alla mobilità nel quadro di una apertura delle frontiere nello scacchiere internazionale non sarebbe incompatibile con il diritto alla residenza permanente. </w:t>
      </w:r>
      <w:proofErr w:type="spellStart"/>
      <w:r w:rsidRPr="001B249E">
        <w:t>Sauriol</w:t>
      </w:r>
      <w:proofErr w:type="spellEnd"/>
      <w:r w:rsidRPr="001B249E">
        <w:t xml:space="preserve"> mette l’accento sul fatto che ogni persona è portatrice di diritti e deve poterli esercitare l</w:t>
      </w:r>
      <w:r w:rsidR="0071767E" w:rsidRPr="001B249E">
        <w:t>à</w:t>
      </w:r>
      <w:r w:rsidRPr="001B249E">
        <w:t xml:space="preserve"> dove risiede, lavora e vive. </w:t>
      </w:r>
      <w:r w:rsidR="0071767E" w:rsidRPr="001B249E">
        <w:t xml:space="preserve">L’esercizio effettivo dei diritti è, come nota l’autrice, il fondamento stesso della democrazia. </w:t>
      </w:r>
      <w:r w:rsidR="00F03043" w:rsidRPr="001B249E">
        <w:t xml:space="preserve"> </w:t>
      </w:r>
      <w:r w:rsidR="00DB51A1" w:rsidRPr="001B249E">
        <w:t xml:space="preserve">L’articolo propone un esame comparativo del quadro giuridico che governa la residenza in </w:t>
      </w:r>
      <w:r w:rsidR="00792527" w:rsidRPr="001B249E">
        <w:t>C</w:t>
      </w:r>
      <w:r w:rsidR="00DB51A1" w:rsidRPr="001B249E">
        <w:t xml:space="preserve">anada e negli </w:t>
      </w:r>
      <w:r w:rsidR="00DB51A1" w:rsidRPr="001B249E">
        <w:lastRenderedPageBreak/>
        <w:t>Stati Uniti, come anche nel contesto dell’Unione europea e dei nuovi paesi di accoglimento del Sud. Mette in luce i problemi e le sfide legat</w:t>
      </w:r>
      <w:r w:rsidR="00792527" w:rsidRPr="001B249E">
        <w:t>e</w:t>
      </w:r>
      <w:r w:rsidR="00DB51A1" w:rsidRPr="001B249E">
        <w:t xml:space="preserve"> all’accesso dei migranti </w:t>
      </w:r>
      <w:r w:rsidR="00792527" w:rsidRPr="001B249E">
        <w:t>ai</w:t>
      </w:r>
      <w:r w:rsidR="00DB51A1" w:rsidRPr="001B249E">
        <w:t xml:space="preserve"> diritti legati alla res</w:t>
      </w:r>
      <w:r w:rsidR="00792527" w:rsidRPr="001B249E">
        <w:t>i</w:t>
      </w:r>
      <w:r w:rsidR="00DB51A1" w:rsidRPr="001B249E">
        <w:t xml:space="preserve">denza. </w:t>
      </w:r>
      <w:proofErr w:type="spellStart"/>
      <w:r w:rsidR="00DB51A1" w:rsidRPr="001B249E">
        <w:t>Sauriol</w:t>
      </w:r>
      <w:proofErr w:type="spellEnd"/>
      <w:r w:rsidR="00DB51A1" w:rsidRPr="001B249E">
        <w:t xml:space="preserve"> es</w:t>
      </w:r>
      <w:r w:rsidR="00792527" w:rsidRPr="001B249E">
        <w:t>a</w:t>
      </w:r>
      <w:r w:rsidR="00DB51A1" w:rsidRPr="001B249E">
        <w:t xml:space="preserve">mina egualmente delle soluzioni che possono migliorare lo stato dei residenti non cittadini. </w:t>
      </w:r>
      <w:r w:rsidR="00402F4A" w:rsidRPr="001B249E">
        <w:t>Lei auspica</w:t>
      </w:r>
      <w:r w:rsidR="009E216C" w:rsidRPr="001B249E">
        <w:t xml:space="preserve">, tra altre cose, una forma di « cittadinanza di residenza » basata sul riconoscimento </w:t>
      </w:r>
      <w:r w:rsidR="00792527" w:rsidRPr="001B249E">
        <w:t xml:space="preserve">dei diritti fondamentali dei migranti, compreso un diritto effettivo all’uguaglianza, i diritti politici come il diritto di voto, e il trattamento nazionale in materia di diritti economici e sociali. </w:t>
      </w:r>
    </w:p>
    <w:p w:rsidR="0049696F" w:rsidRPr="001B249E" w:rsidRDefault="0049696F" w:rsidP="001B249E">
      <w:pPr>
        <w:pStyle w:val="texte"/>
        <w:jc w:val="both"/>
      </w:pPr>
      <w:r w:rsidRPr="001B249E">
        <w:t xml:space="preserve">Da parte sua, Louis </w:t>
      </w:r>
      <w:proofErr w:type="spellStart"/>
      <w:r w:rsidRPr="001B249E">
        <w:t>Lourme</w:t>
      </w:r>
      <w:proofErr w:type="spellEnd"/>
      <w:r w:rsidRPr="001B249E">
        <w:t xml:space="preserve"> esplora il potenziale del cosmopolitismo per difendere una apertura delle frontiere. Egli analizza più </w:t>
      </w:r>
      <w:r w:rsidR="001B249E" w:rsidRPr="001B249E">
        <w:t>precisamente</w:t>
      </w:r>
      <w:r w:rsidRPr="001B249E">
        <w:t xml:space="preserve"> il tipo di « apertura » delle frontiere suggerito dal punto di vista </w:t>
      </w:r>
      <w:r w:rsidR="00A0384B" w:rsidRPr="001B249E">
        <w:t xml:space="preserve">cosmopolita sui piani morale e politico. L’autore rimarca che il riconoscimento delle frontiere nazionali sui piani storico e politico è costitutivo del cosmopolitismo, e che quest’ ultimo può articolare la realtà delle frontiere con delle innovazioni istituzionali che permettano di aprirle. Secondo </w:t>
      </w:r>
      <w:proofErr w:type="spellStart"/>
      <w:r w:rsidR="00A0384B" w:rsidRPr="001B249E">
        <w:t>Lourme</w:t>
      </w:r>
      <w:proofErr w:type="spellEnd"/>
      <w:r w:rsidR="00A0384B" w:rsidRPr="001B249E">
        <w:t>, il cosmopolitismo riflette l’interdipendenza umana e la porosità delle frontiere in un mondo dove la giustizia all’interno delle frontiere è inseparabile dalla giustizia al di là delle frontiere. In questo senso, il cosmopolitismo corrisponde, sul piano morale tradizionale come anche su</w:t>
      </w:r>
      <w:r w:rsidR="00402F4A" w:rsidRPr="001B249E">
        <w:t>l</w:t>
      </w:r>
      <w:r w:rsidR="00A0384B" w:rsidRPr="001B249E">
        <w:t xml:space="preserve"> piano </w:t>
      </w:r>
      <w:r w:rsidR="00402F4A" w:rsidRPr="001B249E">
        <w:t>del</w:t>
      </w:r>
      <w:r w:rsidR="00A0384B" w:rsidRPr="001B249E">
        <w:t xml:space="preserve"> progetto politico, a una concezione di frontiera aperta.   </w:t>
      </w:r>
    </w:p>
    <w:p w:rsidR="007204B5" w:rsidRPr="001B249E" w:rsidRDefault="00A759A8" w:rsidP="001B249E">
      <w:pPr>
        <w:pStyle w:val="texte"/>
        <w:jc w:val="both"/>
      </w:pPr>
      <w:r w:rsidRPr="001B249E">
        <w:t xml:space="preserve">Antoine </w:t>
      </w:r>
      <w:proofErr w:type="spellStart"/>
      <w:r w:rsidRPr="001B249E">
        <w:t>Pécoud</w:t>
      </w:r>
      <w:proofErr w:type="spellEnd"/>
      <w:r w:rsidRPr="001B249E">
        <w:t>, da parte sua, propone una analisi critica del</w:t>
      </w:r>
      <w:r w:rsidR="00402F4A" w:rsidRPr="001B249E">
        <w:t xml:space="preserve">la </w:t>
      </w:r>
      <w:r w:rsidRPr="001B249E">
        <w:t>«</w:t>
      </w:r>
      <w:proofErr w:type="spellStart"/>
      <w:r w:rsidR="00402F4A" w:rsidRPr="00F4091F">
        <w:rPr>
          <w:i/>
        </w:rPr>
        <w:t>governance</w:t>
      </w:r>
      <w:proofErr w:type="spellEnd"/>
      <w:r w:rsidR="00402F4A" w:rsidRPr="001B249E">
        <w:t xml:space="preserve"> </w:t>
      </w:r>
      <w:r w:rsidR="001712ED" w:rsidRPr="001B249E">
        <w:t xml:space="preserve">mondiale </w:t>
      </w:r>
      <w:r w:rsidRPr="001B249E">
        <w:t xml:space="preserve"> delle migrazioni» </w:t>
      </w:r>
      <w:r w:rsidR="001712ED" w:rsidRPr="001B249E">
        <w:t xml:space="preserve">e in particolare </w:t>
      </w:r>
      <w:r w:rsidR="00AB14CB" w:rsidRPr="001B249E">
        <w:t>del posto che deve avere la</w:t>
      </w:r>
      <w:r w:rsidR="001712ED" w:rsidRPr="001B249E">
        <w:t xml:space="preserve"> libertà di circolazione nelle politiche migratorie. Spiega come le politiche migratorie siano l’oggetto di una concertazione e di  una accresciuta cooperazione tra Stati</w:t>
      </w:r>
      <w:r w:rsidR="00AB14CB" w:rsidRPr="001B249E">
        <w:t>. Egli spiega anche come le</w:t>
      </w:r>
      <w:r w:rsidR="001712ED" w:rsidRPr="001B249E">
        <w:t xml:space="preserve"> raccomandazioni elaborate </w:t>
      </w:r>
      <w:r w:rsidR="00AB14CB" w:rsidRPr="001B249E">
        <w:t xml:space="preserve">in </w:t>
      </w:r>
      <w:r w:rsidR="001B249E" w:rsidRPr="001B249E">
        <w:t>ambiti</w:t>
      </w:r>
      <w:r w:rsidR="001712ED" w:rsidRPr="001B249E">
        <w:t xml:space="preserve"> intergovernativi</w:t>
      </w:r>
      <w:r w:rsidR="00AB14CB" w:rsidRPr="001B249E">
        <w:t>,</w:t>
      </w:r>
      <w:r w:rsidR="001712ED" w:rsidRPr="001B249E">
        <w:t xml:space="preserve"> come per esempio l’ONU</w:t>
      </w:r>
      <w:r w:rsidR="00AB14CB" w:rsidRPr="001B249E">
        <w:t>,</w:t>
      </w:r>
      <w:r w:rsidR="001712ED" w:rsidRPr="001B249E">
        <w:t xml:space="preserve"> partecipino all’emerge</w:t>
      </w:r>
      <w:r w:rsidR="00AB14CB" w:rsidRPr="001B249E">
        <w:t>re</w:t>
      </w:r>
      <w:r w:rsidR="001712ED" w:rsidRPr="001B249E">
        <w:t xml:space="preserve"> di un</w:t>
      </w:r>
      <w:r w:rsidR="00AB14CB" w:rsidRPr="001B249E">
        <w:t>a</w:t>
      </w:r>
      <w:r w:rsidR="001712ED" w:rsidRPr="001B249E">
        <w:t xml:space="preserve"> </w:t>
      </w:r>
      <w:proofErr w:type="spellStart"/>
      <w:r w:rsidR="001712ED" w:rsidRPr="00F4091F">
        <w:rPr>
          <w:i/>
        </w:rPr>
        <w:t>govern</w:t>
      </w:r>
      <w:r w:rsidR="00AB14CB" w:rsidRPr="00F4091F">
        <w:rPr>
          <w:i/>
        </w:rPr>
        <w:t>ance</w:t>
      </w:r>
      <w:proofErr w:type="spellEnd"/>
      <w:r w:rsidR="001712ED" w:rsidRPr="001B249E">
        <w:t xml:space="preserve"> mondiale.</w:t>
      </w:r>
      <w:r w:rsidR="00BF7B4A" w:rsidRPr="001B249E">
        <w:t xml:space="preserve"> </w:t>
      </w:r>
      <w:r w:rsidR="007204B5" w:rsidRPr="001B249E">
        <w:t xml:space="preserve">Queste politiche e raccomandazioni generalmente adottano un approccio pro-immigrazione per ragioni demografiche ed economiche, e riconoscono l’importanza di rifondare le politiche </w:t>
      </w:r>
      <w:r w:rsidR="003C7C8D" w:rsidRPr="001B249E">
        <w:t>m</w:t>
      </w:r>
      <w:r w:rsidR="007204B5" w:rsidRPr="001B249E">
        <w:t xml:space="preserve">igratorie sulla base di principi universali come lo sviluppo o i diritti dell’uomo. </w:t>
      </w:r>
      <w:r w:rsidR="00B91F5C" w:rsidRPr="001B249E">
        <w:t xml:space="preserve">Tuttavia, come nota </w:t>
      </w:r>
      <w:proofErr w:type="spellStart"/>
      <w:r w:rsidR="00B91F5C" w:rsidRPr="001B249E">
        <w:t>Pécoud</w:t>
      </w:r>
      <w:proofErr w:type="spellEnd"/>
      <w:r w:rsidR="00B91F5C" w:rsidRPr="001B249E">
        <w:t xml:space="preserve">, nei dibattiti relativi </w:t>
      </w:r>
      <w:r w:rsidR="00AB14CB" w:rsidRPr="001B249E">
        <w:t xml:space="preserve">alla </w:t>
      </w:r>
      <w:proofErr w:type="spellStart"/>
      <w:r w:rsidR="00AB14CB" w:rsidRPr="00F4091F">
        <w:rPr>
          <w:i/>
        </w:rPr>
        <w:t>governance</w:t>
      </w:r>
      <w:proofErr w:type="spellEnd"/>
      <w:r w:rsidR="00B91F5C" w:rsidRPr="001B249E">
        <w:t xml:space="preserve"> mondiale delle migrazioni è lasciato poco spazio alla libertà di circolazione. Non è presa in considerazione la possibilità della scelta di migrare come una decisione autonoma </w:t>
      </w:r>
      <w:r w:rsidR="00AB14CB" w:rsidRPr="001B249E">
        <w:t>che deriva dall</w:t>
      </w:r>
      <w:r w:rsidR="00B91F5C" w:rsidRPr="001B249E">
        <w:t>a libertà di circola</w:t>
      </w:r>
      <w:r w:rsidR="00135C93" w:rsidRPr="001B249E">
        <w:t>zione</w:t>
      </w:r>
      <w:r w:rsidR="00B91F5C" w:rsidRPr="001B249E">
        <w:t xml:space="preserve">. La mobilità resta oggetto di controllo da parte degli Stati. </w:t>
      </w:r>
      <w:r w:rsidR="00796E14" w:rsidRPr="001B249E">
        <w:t xml:space="preserve">Se le migrazioni internazionali costituiscono per definizione una realtà transnazionale, tuttavia esse sono sempre considerate come un problema nazionale, che </w:t>
      </w:r>
      <w:r w:rsidR="003C7C8D" w:rsidRPr="001B249E">
        <w:t xml:space="preserve">spetta alla sovranità di ciascun Stato. Partendo da queste constatazioni, </w:t>
      </w:r>
      <w:proofErr w:type="spellStart"/>
      <w:r w:rsidR="003C7C8D" w:rsidRPr="001B249E">
        <w:t>Pécoud</w:t>
      </w:r>
      <w:proofErr w:type="spellEnd"/>
      <w:r w:rsidR="003C7C8D" w:rsidRPr="001B249E">
        <w:t xml:space="preserve"> esamina le sfide legate alla messa in opera di un regime di </w:t>
      </w:r>
      <w:proofErr w:type="spellStart"/>
      <w:r w:rsidR="00AB14CB" w:rsidRPr="00F4091F">
        <w:rPr>
          <w:i/>
        </w:rPr>
        <w:t>governance</w:t>
      </w:r>
      <w:proofErr w:type="spellEnd"/>
      <w:r w:rsidR="003C7C8D" w:rsidRPr="001B249E">
        <w:t xml:space="preserve"> delle migrazioni e come questo regime possa articolarsi  con le misure di controllo dei flussi migratori.</w:t>
      </w:r>
    </w:p>
    <w:p w:rsidR="00D554D8" w:rsidRPr="001B249E" w:rsidRDefault="003B0953" w:rsidP="001B249E">
      <w:pPr>
        <w:pStyle w:val="texte"/>
        <w:jc w:val="both"/>
      </w:pPr>
      <w:r w:rsidRPr="001B249E">
        <w:t>La centralità dei diritti dell’uomo, e in particolare della libertà di circolazione, nei dibattici etici sull’apertura delle frontiere è affermata con forza da Jean Rousseau, presidente dell’Organizzazione per una cittadinanza universale (O.C.U.). Rousseau presenta i valori difesi dalla sua organizz</w:t>
      </w:r>
      <w:r w:rsidR="00635997" w:rsidRPr="001B249E">
        <w:t>az</w:t>
      </w:r>
      <w:r w:rsidRPr="001B249E">
        <w:t>ione fondata nel febbraio 2013 e le attività condotte in materia di mobilità delle persone. Egli rimarca l’assenza d</w:t>
      </w:r>
      <w:r w:rsidR="00AB14CB" w:rsidRPr="001B249E">
        <w:t xml:space="preserve">i </w:t>
      </w:r>
      <w:r w:rsidRPr="001B249E">
        <w:t xml:space="preserve">visione attuale che </w:t>
      </w:r>
      <w:r w:rsidR="00AB14CB" w:rsidRPr="001B249E">
        <w:t xml:space="preserve">si accompagna alla  </w:t>
      </w:r>
      <w:r w:rsidR="00635997" w:rsidRPr="001B249E">
        <w:t xml:space="preserve"> negazione del diritto fondamentale alla libera circolazione.  Mentre i paesi più privilegiati offrono ai loro cittadini possibilità di circolazione quasi senza limiti, i tre quarti dell’umanità non possono scappare da una forma di assegnazione di residenza di fatto. </w:t>
      </w:r>
      <w:r w:rsidR="00AD7148" w:rsidRPr="001B249E">
        <w:t xml:space="preserve"> </w:t>
      </w:r>
      <w:r w:rsidR="00D554D8" w:rsidRPr="001B249E">
        <w:t xml:space="preserve">Rousseau denuncia la chiusura e la militarizzazione delle frontiere, segnatamente europee, nord-americane e australiane che si rivelano essere dei dispositivi micidiali per migliaia di persone da più di due decenni. L’autore propone di ripensare le politiche migratorie per evitare che la stessa  libertà di circolazione sia fonte di nuove forme di precariato o di </w:t>
      </w:r>
      <w:r w:rsidR="001B249E" w:rsidRPr="001B249E">
        <w:t>sfruttamento</w:t>
      </w:r>
      <w:r w:rsidR="00D554D8" w:rsidRPr="001B249E">
        <w:t>. A questo fine, egli propone una prospettiva di cittadinanza universale effettiva basata sul pari accesso dei migranti ai diritti e libertà fondamentali e il rispetto di tali diritti e libertà.</w:t>
      </w:r>
    </w:p>
    <w:p w:rsidR="00767E1B" w:rsidRPr="001B249E" w:rsidRDefault="00767E1B" w:rsidP="001B249E">
      <w:pPr>
        <w:pStyle w:val="texte"/>
        <w:jc w:val="both"/>
      </w:pPr>
      <w:proofErr w:type="spellStart"/>
      <w:r w:rsidRPr="001B249E">
        <w:t>Micheline</w:t>
      </w:r>
      <w:proofErr w:type="spellEnd"/>
      <w:r w:rsidRPr="001B249E">
        <w:t xml:space="preserve"> </w:t>
      </w:r>
      <w:proofErr w:type="spellStart"/>
      <w:r w:rsidRPr="001B249E">
        <w:t>Labelle</w:t>
      </w:r>
      <w:proofErr w:type="spellEnd"/>
      <w:r w:rsidRPr="001B249E">
        <w:t xml:space="preserve"> si rifà ai concetti di frontiere e di transnazionalismo per analizzare il flusso della mobilità. </w:t>
      </w:r>
      <w:r w:rsidR="00AB14CB" w:rsidRPr="001B249E">
        <w:t>Lei</w:t>
      </w:r>
      <w:r w:rsidRPr="001B249E">
        <w:t xml:space="preserve"> stima che questo flusso non rende conto della complessità e della diversità del </w:t>
      </w:r>
      <w:r w:rsidRPr="001B249E">
        <w:lastRenderedPageBreak/>
        <w:t xml:space="preserve">fenomeno migratorio </w:t>
      </w:r>
      <w:r w:rsidR="001B249E" w:rsidRPr="001B249E">
        <w:t>né</w:t>
      </w:r>
      <w:r w:rsidRPr="001B249E">
        <w:t xml:space="preserve"> dei modi di incorporazione nei paesi di partenza e in quelli di accoglimento. Il suo articolo propone una riflessione sulla mobilità che </w:t>
      </w:r>
      <w:r w:rsidR="001B249E" w:rsidRPr="001B249E">
        <w:t>prenderebbe</w:t>
      </w:r>
      <w:r w:rsidRPr="001B249E">
        <w:t xml:space="preserve"> in considerazione parecchi fattori, compresi gli squilibri storico-strutturali, di ordine economico, politico e culturale</w:t>
      </w:r>
      <w:r w:rsidR="00112AD6" w:rsidRPr="001B249E">
        <w:t>. Fattori c</w:t>
      </w:r>
      <w:r w:rsidRPr="001B249E">
        <w:t xml:space="preserve">he spingono all’emigrazione nei paesi di partenza, come anche le strutture economiche e politiche </w:t>
      </w:r>
      <w:r w:rsidR="00DC3947" w:rsidRPr="001B249E">
        <w:t xml:space="preserve">che connettono le aree e i sistemi regionali di migrazione, e i legami coloniali e post-coloniali che </w:t>
      </w:r>
      <w:r w:rsidR="00112AD6" w:rsidRPr="001B249E">
        <w:t xml:space="preserve">ne sono derivati per </w:t>
      </w:r>
      <w:r w:rsidR="00DC3947" w:rsidRPr="001B249E">
        <w:t xml:space="preserve"> durata. </w:t>
      </w:r>
      <w:r w:rsidR="00931EE7" w:rsidRPr="001B249E">
        <w:t>Una tale riflessione necessita,</w:t>
      </w:r>
      <w:r w:rsidR="001B249E">
        <w:t xml:space="preserve"> </w:t>
      </w:r>
      <w:r w:rsidR="00931EE7" w:rsidRPr="001B249E">
        <w:t xml:space="preserve">secondo l’autrice, </w:t>
      </w:r>
      <w:r w:rsidR="00A91AB1" w:rsidRPr="001B249E">
        <w:t>non solamente della caratterizzazione delle forze strutturali</w:t>
      </w:r>
      <w:r w:rsidR="00DC3947" w:rsidRPr="001B249E">
        <w:t xml:space="preserve"> </w:t>
      </w:r>
      <w:r w:rsidR="00A91AB1" w:rsidRPr="001B249E">
        <w:t xml:space="preserve">di chiamata nei paesi di destinazione, ma anche </w:t>
      </w:r>
      <w:r w:rsidR="00112AD6" w:rsidRPr="001B249E">
        <w:t>della messa in conto</w:t>
      </w:r>
      <w:r w:rsidR="00A91AB1" w:rsidRPr="001B249E">
        <w:t xml:space="preserve"> </w:t>
      </w:r>
      <w:r w:rsidR="00044933" w:rsidRPr="001B249E">
        <w:t xml:space="preserve">di </w:t>
      </w:r>
      <w:r w:rsidR="00A91AB1" w:rsidRPr="001B249E">
        <w:t xml:space="preserve"> fattori </w:t>
      </w:r>
      <w:r w:rsidR="00044933" w:rsidRPr="001B249E">
        <w:t>quali</w:t>
      </w:r>
      <w:r w:rsidR="00A91AB1" w:rsidRPr="001B249E">
        <w:t xml:space="preserve"> le reti migratorie, familiari e comunitarie, </w:t>
      </w:r>
      <w:r w:rsidR="00CB0D6E" w:rsidRPr="001B249E">
        <w:t>le motivazioni individuali, e anche la prospettiva del diritto e dell’etica.</w:t>
      </w:r>
    </w:p>
    <w:p w:rsidR="00DF6148" w:rsidRDefault="00DF6148" w:rsidP="001B249E">
      <w:pPr>
        <w:pStyle w:val="texte"/>
        <w:jc w:val="both"/>
      </w:pPr>
    </w:p>
    <w:p w:rsidR="00C15DD7" w:rsidRPr="001B249E" w:rsidRDefault="00C15DD7" w:rsidP="001B249E">
      <w:pPr>
        <w:pStyle w:val="texte"/>
        <w:jc w:val="both"/>
      </w:pPr>
      <w:r w:rsidRPr="001B249E">
        <w:t xml:space="preserve">Questo numero di </w:t>
      </w:r>
      <w:proofErr w:type="spellStart"/>
      <w:r w:rsidRPr="001B249E">
        <w:rPr>
          <w:i/>
        </w:rPr>
        <w:t>Ethique</w:t>
      </w:r>
      <w:proofErr w:type="spellEnd"/>
      <w:r w:rsidRPr="001B249E">
        <w:rPr>
          <w:i/>
        </w:rPr>
        <w:t xml:space="preserve"> </w:t>
      </w:r>
      <w:proofErr w:type="spellStart"/>
      <w:r w:rsidRPr="001B249E">
        <w:rPr>
          <w:i/>
        </w:rPr>
        <w:t>publique</w:t>
      </w:r>
      <w:proofErr w:type="spellEnd"/>
      <w:r w:rsidRPr="001B249E">
        <w:t xml:space="preserve"> </w:t>
      </w:r>
      <w:r w:rsidR="00044933" w:rsidRPr="001B249E">
        <w:t xml:space="preserve">comprende </w:t>
      </w:r>
      <w:r w:rsidRPr="001B249E">
        <w:t xml:space="preserve"> articoli che analizzano la questione dell’aper</w:t>
      </w:r>
      <w:r w:rsidR="00C57FC0" w:rsidRPr="001B249E">
        <w:t>tura delle frontiere in una pro</w:t>
      </w:r>
      <w:r w:rsidRPr="001B249E">
        <w:t xml:space="preserve">spettiva regionale. I loro autori spiegano come le regioni e i territori transfrontalieri possono costituire dei laboratori per l’apertura delle frontiere e l’integrazione </w:t>
      </w:r>
      <w:proofErr w:type="spellStart"/>
      <w:r w:rsidRPr="001B249E">
        <w:t>sociospaziale</w:t>
      </w:r>
      <w:proofErr w:type="spellEnd"/>
      <w:r w:rsidRPr="001B249E">
        <w:t xml:space="preserve"> delle popolazioni, esplorando le sfide etiche legate a questo processo. Christian-</w:t>
      </w:r>
      <w:proofErr w:type="spellStart"/>
      <w:r w:rsidRPr="001B249E">
        <w:t>Yann</w:t>
      </w:r>
      <w:proofErr w:type="spellEnd"/>
      <w:r w:rsidRPr="001B249E">
        <w:t xml:space="preserve"> Messe </w:t>
      </w:r>
      <w:proofErr w:type="spellStart"/>
      <w:r w:rsidRPr="001B249E">
        <w:t>Mbega</w:t>
      </w:r>
      <w:proofErr w:type="spellEnd"/>
      <w:r w:rsidRPr="001B249E">
        <w:t xml:space="preserve"> esamina il caso del Sud-Camer</w:t>
      </w:r>
      <w:r w:rsidR="00044933" w:rsidRPr="001B249E">
        <w:t>u</w:t>
      </w:r>
      <w:r w:rsidRPr="001B249E">
        <w:t xml:space="preserve">n, del Nord-Gabon e della parte continentale della Guinea equatoriale per dimostrare come  l’eliminazione delle frontiere </w:t>
      </w:r>
      <w:r w:rsidR="00C57FC0" w:rsidRPr="001B249E">
        <w:t>chiuse</w:t>
      </w:r>
      <w:r w:rsidRPr="001B249E">
        <w:t xml:space="preserve"> nelle regioni frontaliere</w:t>
      </w:r>
      <w:r w:rsidR="00D749CE" w:rsidRPr="001B249E">
        <w:t xml:space="preserve"> conduca ad una interazione spaziale, socioculturale, economica che riunisce in un’ unica comunità spazi nazionali prima</w:t>
      </w:r>
      <w:r w:rsidR="008365FE" w:rsidRPr="001B249E">
        <w:t xml:space="preserve"> limitati</w:t>
      </w:r>
      <w:r w:rsidR="00D749CE" w:rsidRPr="001B249E">
        <w:t xml:space="preserve">. Questa comunità di spazio o regione transfrontaliera permetterebbe l’integrazione </w:t>
      </w:r>
      <w:proofErr w:type="spellStart"/>
      <w:r w:rsidR="00D749CE" w:rsidRPr="001B249E">
        <w:t>sociospaziale</w:t>
      </w:r>
      <w:proofErr w:type="spellEnd"/>
      <w:r w:rsidR="00D749CE" w:rsidRPr="001B249E">
        <w:t xml:space="preserve"> della popolazione che vive in entrambe le parti delle frontiere nazionali, grazie ai valori etici </w:t>
      </w:r>
      <w:r w:rsidR="000835F3" w:rsidRPr="001B249E">
        <w:t xml:space="preserve">che </w:t>
      </w:r>
      <w:r w:rsidR="008365FE" w:rsidRPr="001B249E">
        <w:t>condivide.</w:t>
      </w:r>
      <w:r w:rsidR="00D749CE" w:rsidRPr="001B249E">
        <w:t xml:space="preserve"> </w:t>
      </w:r>
    </w:p>
    <w:p w:rsidR="004E6E89" w:rsidRPr="001B249E" w:rsidRDefault="004E6E89" w:rsidP="001B249E">
      <w:pPr>
        <w:pStyle w:val="texte"/>
        <w:jc w:val="both"/>
      </w:pPr>
      <w:r w:rsidRPr="001B249E">
        <w:t xml:space="preserve">Caroline </w:t>
      </w:r>
      <w:proofErr w:type="spellStart"/>
      <w:r w:rsidRPr="001B249E">
        <w:t>Caplan</w:t>
      </w:r>
      <w:proofErr w:type="spellEnd"/>
      <w:r w:rsidRPr="001B249E">
        <w:t xml:space="preserve">, da parte sua si sofferma sul caso di Paso de </w:t>
      </w:r>
      <w:proofErr w:type="spellStart"/>
      <w:r w:rsidRPr="001B249E">
        <w:t>los</w:t>
      </w:r>
      <w:proofErr w:type="spellEnd"/>
      <w:r w:rsidRPr="001B249E">
        <w:t xml:space="preserve"> </w:t>
      </w:r>
      <w:proofErr w:type="spellStart"/>
      <w:r w:rsidRPr="001B249E">
        <w:t>Libres</w:t>
      </w:r>
      <w:proofErr w:type="spellEnd"/>
      <w:r w:rsidRPr="001B249E">
        <w:t>- Uruguai</w:t>
      </w:r>
      <w:r w:rsidR="008C1DA5" w:rsidRPr="001B249E">
        <w:t>ana</w:t>
      </w:r>
      <w:r w:rsidRPr="001B249E">
        <w:t>, un ins</w:t>
      </w:r>
      <w:r w:rsidR="009A71C1" w:rsidRPr="001B249E">
        <w:t>ediamento</w:t>
      </w:r>
      <w:r w:rsidRPr="001B249E">
        <w:t xml:space="preserve"> urbano transfrontaliero fra l’Argentina e il Brasile, </w:t>
      </w:r>
      <w:r w:rsidR="008C1DA5" w:rsidRPr="001B249E">
        <w:t xml:space="preserve">che fa parte del MERCOSUR, </w:t>
      </w:r>
      <w:r w:rsidR="00BD7B27" w:rsidRPr="001B249E">
        <w:t xml:space="preserve">con lo scopo </w:t>
      </w:r>
      <w:r w:rsidR="008C1DA5" w:rsidRPr="001B249E">
        <w:t>di comprendere l’interesse che hanno questi Stati e il MERCOSUR di fare di questa frontiera un terri</w:t>
      </w:r>
      <w:r w:rsidR="00C57FC0" w:rsidRPr="001B249E">
        <w:t>torio di passaggio e di definir</w:t>
      </w:r>
      <w:r w:rsidR="008C1DA5" w:rsidRPr="001B249E">
        <w:t>e i limiti</w:t>
      </w:r>
      <w:r w:rsidR="00C57FC0" w:rsidRPr="001B249E">
        <w:t xml:space="preserve"> di questo progetto</w:t>
      </w:r>
      <w:r w:rsidR="008C1DA5" w:rsidRPr="001B249E">
        <w:t xml:space="preserve">. La sua analisi dimostra che </w:t>
      </w:r>
      <w:r w:rsidR="00C57FC0" w:rsidRPr="001B249E">
        <w:t>tali</w:t>
      </w:r>
      <w:r w:rsidR="008C1DA5" w:rsidRPr="001B249E">
        <w:t xml:space="preserve"> territori re</w:t>
      </w:r>
      <w:r w:rsidR="00C57FC0" w:rsidRPr="001B249E">
        <w:t>stano sottoposti</w:t>
      </w:r>
      <w:r w:rsidR="008C1DA5" w:rsidRPr="001B249E">
        <w:t xml:space="preserve"> alle dottrine nazionaliste degli Stati e che la costruzione di territori transfrontalieri ne viene limitata. Così </w:t>
      </w:r>
      <w:proofErr w:type="spellStart"/>
      <w:r w:rsidR="008C1DA5" w:rsidRPr="001B249E">
        <w:t>Caplan</w:t>
      </w:r>
      <w:proofErr w:type="spellEnd"/>
      <w:r w:rsidR="008C1DA5" w:rsidRPr="001B249E">
        <w:t xml:space="preserve"> constata che le politiche protezionistiche degli Stati, volendo fare applicare a Paso de </w:t>
      </w:r>
      <w:proofErr w:type="spellStart"/>
      <w:r w:rsidR="008C1DA5" w:rsidRPr="001B249E">
        <w:t>los</w:t>
      </w:r>
      <w:proofErr w:type="spellEnd"/>
      <w:r w:rsidR="008C1DA5" w:rsidRPr="001B249E">
        <w:t xml:space="preserve"> </w:t>
      </w:r>
      <w:proofErr w:type="spellStart"/>
      <w:r w:rsidR="008C1DA5" w:rsidRPr="001B249E">
        <w:t>Libres</w:t>
      </w:r>
      <w:proofErr w:type="spellEnd"/>
      <w:r w:rsidR="008C1DA5" w:rsidRPr="001B249E">
        <w:t xml:space="preserve"> le leggi nazionali, rendono più complicato il passaggio della frontiera e diminuiscono gli scambi fra città gemelle, in particolare nel settore dell’educazione. La frontiera tra l’Argentina e il Brasile resterebbe prima di tutto</w:t>
      </w:r>
      <w:r w:rsidR="009A71C1" w:rsidRPr="001B249E">
        <w:t xml:space="preserve"> una frontiera pensata per la circolazione delle merci. L’autrice rimarca come la mancata integrazione sociale freni potenzialmente la crescita economica regionale.</w:t>
      </w:r>
      <w:r w:rsidR="008C1DA5" w:rsidRPr="001B249E">
        <w:t xml:space="preserve"> </w:t>
      </w:r>
    </w:p>
    <w:p w:rsidR="00051269" w:rsidRPr="001B249E" w:rsidRDefault="00051269" w:rsidP="001B249E">
      <w:pPr>
        <w:pStyle w:val="texte"/>
        <w:jc w:val="both"/>
      </w:pPr>
      <w:r w:rsidRPr="001B249E">
        <w:t xml:space="preserve">Questi esempi mettono in luce le sfide politiche, economiche e sociali che l’apertura delle frontiere solleva. Come nota </w:t>
      </w:r>
      <w:proofErr w:type="spellStart"/>
      <w:r w:rsidRPr="001B249E">
        <w:t>Caplan</w:t>
      </w:r>
      <w:proofErr w:type="spellEnd"/>
      <w:r w:rsidRPr="001B249E">
        <w:t xml:space="preserve">, cancellare le frontiere richiede l’esistenza di sistemi </w:t>
      </w:r>
      <w:r w:rsidR="00044933" w:rsidRPr="001B249E">
        <w:t xml:space="preserve">di </w:t>
      </w:r>
      <w:proofErr w:type="spellStart"/>
      <w:r w:rsidR="00044933" w:rsidRPr="00F4091F">
        <w:rPr>
          <w:i/>
        </w:rPr>
        <w:t>governance</w:t>
      </w:r>
      <w:proofErr w:type="spellEnd"/>
      <w:r w:rsidRPr="001B249E">
        <w:t xml:space="preserve"> adatti che sorpassino il quadro nazionale. </w:t>
      </w:r>
      <w:r w:rsidR="00730D3E" w:rsidRPr="001B249E">
        <w:t xml:space="preserve">I territori transfrontalieri sfidano dunque gli Stati-nazione e li obbligano a ripensare il territorio e la sovranità. I due articoli in questione illustrano egualmente come </w:t>
      </w:r>
      <w:r w:rsidR="00C57FC0" w:rsidRPr="001B249E">
        <w:t>le</w:t>
      </w:r>
      <w:r w:rsidR="00730D3E" w:rsidRPr="001B249E">
        <w:t xml:space="preserve"> regioni transfrontaliere possano divenire dei luoghi di apprendimento sul piano di </w:t>
      </w:r>
      <w:proofErr w:type="spellStart"/>
      <w:r w:rsidR="00044933" w:rsidRPr="00F4091F">
        <w:rPr>
          <w:i/>
        </w:rPr>
        <w:t>governance</w:t>
      </w:r>
      <w:proofErr w:type="spellEnd"/>
      <w:r w:rsidR="00044933" w:rsidRPr="001B249E">
        <w:t xml:space="preserve"> </w:t>
      </w:r>
      <w:r w:rsidR="00730D3E" w:rsidRPr="001B249E">
        <w:t xml:space="preserve">e della cooperazione decentralizzata. </w:t>
      </w:r>
    </w:p>
    <w:p w:rsidR="00974EFA" w:rsidRPr="001B249E" w:rsidRDefault="00E813E3" w:rsidP="001B249E">
      <w:pPr>
        <w:pStyle w:val="texte"/>
        <w:jc w:val="both"/>
      </w:pPr>
      <w:r w:rsidRPr="001B249E">
        <w:t xml:space="preserve">Per terminare, </w:t>
      </w:r>
      <w:proofErr w:type="spellStart"/>
      <w:r w:rsidRPr="001B249E">
        <w:t>Mathilde</w:t>
      </w:r>
      <w:proofErr w:type="spellEnd"/>
      <w:r w:rsidRPr="001B249E">
        <w:t xml:space="preserve"> Unger si sofferma sul caso dell’Unione europea che offre il modello regionale più avanzato al mondo dal punto di vista della libertà di circolazione, per sottolineare le sfide sociali che l’apertura delle frontiere rappresenta. Ella spiega come la giurisprudenza della Corte di giustizia dell’Unione europea relativa al diritto di circolare e risiedere liberamente all’interno dell’Unione </w:t>
      </w:r>
      <w:r w:rsidR="00E51995" w:rsidRPr="001B249E">
        <w:t xml:space="preserve">ha determinato la dimensione sociale  della cittadinanza europea. </w:t>
      </w:r>
      <w:r w:rsidR="00974EFA" w:rsidRPr="001B249E">
        <w:t xml:space="preserve">Così, come sottolinea l’autrice, il diritto comunitario riconosce al cittadino europeo che soggiorna in un altro Stato membro uno statuto che gli permette di accedere a parecchi </w:t>
      </w:r>
      <w:r w:rsidR="0040555A" w:rsidRPr="001B249E">
        <w:t xml:space="preserve">dei </w:t>
      </w:r>
      <w:r w:rsidR="00974EFA" w:rsidRPr="001B249E">
        <w:t>diritti socioeconomici allo stesso titolo dei cittadini nazionali di quello stesso Stato membro. Tuttavia, Unger dimostra d’altra parte che questi diritti sono spesso sotto</w:t>
      </w:r>
      <w:r w:rsidR="00C57FC0" w:rsidRPr="001B249E">
        <w:t>posti</w:t>
      </w:r>
      <w:r w:rsidR="00974EFA" w:rsidRPr="001B249E">
        <w:t xml:space="preserve"> a delle deroghe che ne limitano la portata,</w:t>
      </w:r>
      <w:r w:rsidR="001B249E">
        <w:t xml:space="preserve"> </w:t>
      </w:r>
      <w:r w:rsidR="00974EFA" w:rsidRPr="001B249E">
        <w:t xml:space="preserve">e che </w:t>
      </w:r>
      <w:r w:rsidR="00974EFA" w:rsidRPr="001B249E">
        <w:lastRenderedPageBreak/>
        <w:t xml:space="preserve">l’apertura delle frontiere mette inevitabilmente gli Stati in una situazione di concorrenza normativa che non </w:t>
      </w:r>
      <w:r w:rsidR="008431BB" w:rsidRPr="001B249E">
        <w:t>si avvantaggia</w:t>
      </w:r>
      <w:r w:rsidR="0040555A" w:rsidRPr="001B249E">
        <w:t xml:space="preserve"> dei più generosi  modelli sociali. </w:t>
      </w:r>
    </w:p>
    <w:p w:rsidR="002F64DA" w:rsidRPr="001B249E" w:rsidRDefault="002F64DA" w:rsidP="001B249E">
      <w:pPr>
        <w:pStyle w:val="texte"/>
        <w:jc w:val="both"/>
      </w:pPr>
      <w:r w:rsidRPr="001B249E">
        <w:t xml:space="preserve">Insomma, gli autori di questo numero speciale </w:t>
      </w:r>
      <w:r w:rsidR="00D82BC1" w:rsidRPr="001B249E">
        <w:t>di</w:t>
      </w:r>
      <w:r w:rsidRPr="001B249E">
        <w:t>mostrano, direttamente o indirettamente, come è difficile al giorno d’oggi pensare all’apertura delle frontiere in un mondo costruito sul postulato opposto. Si potrebbe dire che è stato sufficiente un secolo non solamente per radicare pr</w:t>
      </w:r>
      <w:r w:rsidR="0058586A" w:rsidRPr="001B249E">
        <w:t>a</w:t>
      </w:r>
      <w:r w:rsidRPr="001B249E">
        <w:t>tiche politiche con</w:t>
      </w:r>
      <w:r w:rsidR="0058586A" w:rsidRPr="001B249E">
        <w:t>trarie all</w:t>
      </w:r>
      <w:r w:rsidR="008431BB" w:rsidRPr="001B249E">
        <w:t>e</w:t>
      </w:r>
      <w:r w:rsidR="0058586A" w:rsidRPr="001B249E">
        <w:t xml:space="preserve"> libertà individual</w:t>
      </w:r>
      <w:r w:rsidR="008431BB" w:rsidRPr="001B249E">
        <w:t>i</w:t>
      </w:r>
      <w:r w:rsidR="0058586A" w:rsidRPr="001B249E">
        <w:t>, ma anche per perdere collettivamente la capacità di immaginare delle vie di uscita.</w:t>
      </w:r>
    </w:p>
    <w:p w:rsidR="002F64DA" w:rsidRPr="001B249E" w:rsidRDefault="002F64DA" w:rsidP="001B249E">
      <w:pPr>
        <w:pStyle w:val="texte"/>
        <w:spacing w:before="0" w:beforeAutospacing="0" w:after="120" w:afterAutospacing="0"/>
      </w:pPr>
    </w:p>
    <w:p w:rsidR="00A04928" w:rsidRPr="00364CE1" w:rsidRDefault="00A04928" w:rsidP="001B249E">
      <w:pPr>
        <w:pStyle w:val="Titolo2"/>
        <w:spacing w:before="0" w:after="120"/>
        <w:rPr>
          <w:rFonts w:ascii="Times New Roman" w:hAnsi="Times New Roman" w:cs="Times New Roman"/>
          <w:lang w:val="en-US"/>
        </w:rPr>
      </w:pPr>
      <w:r w:rsidRPr="00364CE1">
        <w:rPr>
          <w:rStyle w:val="text"/>
          <w:rFonts w:ascii="Times New Roman" w:hAnsi="Times New Roman" w:cs="Times New Roman"/>
          <w:lang w:val="en-US"/>
        </w:rPr>
        <w:t>Notes</w:t>
      </w:r>
    </w:p>
    <w:p w:rsidR="00A04928" w:rsidRPr="00364CE1" w:rsidRDefault="0026668F" w:rsidP="001B249E">
      <w:pPr>
        <w:pStyle w:val="notebaspage"/>
        <w:spacing w:before="0" w:beforeAutospacing="0" w:after="120" w:afterAutospacing="0"/>
        <w:rPr>
          <w:lang w:val="en-US"/>
        </w:rPr>
      </w:pPr>
      <w:hyperlink r:id="rId6" w:anchor="bodyftn1" w:history="1">
        <w:r w:rsidR="00A04928" w:rsidRPr="00364CE1">
          <w:rPr>
            <w:rStyle w:val="Collegamentoipertestuale"/>
            <w:lang w:val="en-US"/>
          </w:rPr>
          <w:t>1</w:t>
        </w:r>
      </w:hyperlink>
      <w:r w:rsidR="00A04928" w:rsidRPr="00364CE1">
        <w:rPr>
          <w:lang w:val="en-US"/>
        </w:rPr>
        <w:t xml:space="preserve">  </w:t>
      </w:r>
      <w:proofErr w:type="spellStart"/>
      <w:r w:rsidR="00A04928" w:rsidRPr="00364CE1">
        <w:rPr>
          <w:lang w:val="en-US"/>
        </w:rPr>
        <w:t>Voir</w:t>
      </w:r>
      <w:proofErr w:type="spellEnd"/>
      <w:r w:rsidR="00A04928" w:rsidRPr="00364CE1">
        <w:rPr>
          <w:lang w:val="en-US"/>
        </w:rPr>
        <w:t xml:space="preserve"> par </w:t>
      </w:r>
      <w:proofErr w:type="spellStart"/>
      <w:r w:rsidR="00A04928" w:rsidRPr="00364CE1">
        <w:rPr>
          <w:lang w:val="en-US"/>
        </w:rPr>
        <w:t>exemple</w:t>
      </w:r>
      <w:proofErr w:type="spellEnd"/>
      <w:r w:rsidR="00A04928" w:rsidRPr="00364CE1">
        <w:rPr>
          <w:lang w:val="en-US"/>
        </w:rPr>
        <w:t xml:space="preserve"> </w:t>
      </w:r>
      <w:proofErr w:type="spellStart"/>
      <w:r w:rsidR="00A04928" w:rsidRPr="00364CE1">
        <w:rPr>
          <w:lang w:val="en-US"/>
        </w:rPr>
        <w:t>l’article</w:t>
      </w:r>
      <w:proofErr w:type="spellEnd"/>
      <w:r w:rsidR="00A04928" w:rsidRPr="00364CE1">
        <w:rPr>
          <w:lang w:val="en-US"/>
        </w:rPr>
        <w:t xml:space="preserve"> dans </w:t>
      </w:r>
      <w:r w:rsidR="00A04928" w:rsidRPr="00364CE1">
        <w:rPr>
          <w:rStyle w:val="Enfasicorsivo"/>
          <w:rFonts w:eastAsiaTheme="majorEastAsia"/>
          <w:lang w:val="en-US"/>
        </w:rPr>
        <w:t>The New York Times</w:t>
      </w:r>
      <w:r w:rsidR="00A04928" w:rsidRPr="00364CE1">
        <w:rPr>
          <w:lang w:val="en-US"/>
        </w:rPr>
        <w:t xml:space="preserve"> du 3 avril 1903, « Big Army of Immigrants: Nine ships bring 12,668 Foreigners from European Ports ».</w:t>
      </w:r>
    </w:p>
    <w:p w:rsidR="00A04928" w:rsidRPr="005D5648" w:rsidRDefault="0026668F" w:rsidP="001B249E">
      <w:pPr>
        <w:pStyle w:val="notebaspage"/>
        <w:spacing w:before="0" w:beforeAutospacing="0" w:after="120" w:afterAutospacing="0"/>
        <w:rPr>
          <w:lang w:val="fr-FR"/>
        </w:rPr>
      </w:pPr>
      <w:hyperlink r:id="rId7" w:anchor="bodyftn2" w:history="1">
        <w:r w:rsidR="00A04928" w:rsidRPr="005D5648">
          <w:rPr>
            <w:rStyle w:val="Collegamentoipertestuale"/>
            <w:lang w:val="fr-FR"/>
          </w:rPr>
          <w:t>2</w:t>
        </w:r>
      </w:hyperlink>
      <w:r w:rsidR="00A04928" w:rsidRPr="005D5648">
        <w:rPr>
          <w:lang w:val="fr-FR"/>
        </w:rPr>
        <w:t xml:space="preserve">  Voir Adam </w:t>
      </w:r>
      <w:proofErr w:type="spellStart"/>
      <w:r w:rsidR="00A04928" w:rsidRPr="005D5648">
        <w:rPr>
          <w:lang w:val="fr-FR"/>
        </w:rPr>
        <w:t>McKeown</w:t>
      </w:r>
      <w:proofErr w:type="spellEnd"/>
      <w:r w:rsidR="00A04928" w:rsidRPr="005D5648">
        <w:rPr>
          <w:lang w:val="fr-FR"/>
        </w:rPr>
        <w:t xml:space="preserve"> (2004) pour une remise en cause de cette datation euro-centrée.</w:t>
      </w:r>
    </w:p>
    <w:p w:rsidR="00A04928" w:rsidRPr="005D5648" w:rsidRDefault="0026668F" w:rsidP="001B249E">
      <w:pPr>
        <w:pStyle w:val="notebaspage"/>
        <w:spacing w:before="0" w:beforeAutospacing="0" w:after="120" w:afterAutospacing="0"/>
        <w:rPr>
          <w:lang w:val="fr-FR"/>
        </w:rPr>
      </w:pPr>
      <w:hyperlink r:id="rId8" w:anchor="bodyftn3" w:history="1">
        <w:r w:rsidR="00A04928" w:rsidRPr="005D5648">
          <w:rPr>
            <w:rStyle w:val="Collegamentoipertestuale"/>
            <w:lang w:val="fr-FR"/>
          </w:rPr>
          <w:t>3</w:t>
        </w:r>
      </w:hyperlink>
      <w:r w:rsidR="00A04928" w:rsidRPr="005D5648">
        <w:rPr>
          <w:lang w:val="fr-FR"/>
        </w:rPr>
        <w:t xml:space="preserve">  De nombreux auteurs utilisent également « droits humains ». Néanmoins, le terme « droits de l’homme », retenu par l’ensemble des institutions des pays francophones, fut d’abord choisi par les Nations Unies (ex. : Déclaration universelle des droits de l’homme, 10 déc. 1948 ; Haut-Commissariat aux droits de l’homme ; Commission des droits de l’homme). La Commission française consultative des droits de l’homme a adopté le 19 décembre 1998 un avis indiquant clairement la spécificité et la pertinence du terme « droits de l’homme » sur les plans historique et linguistique (OQLF, 2005).</w:t>
      </w:r>
    </w:p>
    <w:p w:rsidR="00A04928" w:rsidRPr="005D5648" w:rsidRDefault="0026668F" w:rsidP="001B249E">
      <w:pPr>
        <w:pStyle w:val="notebaspage"/>
        <w:spacing w:before="0" w:beforeAutospacing="0" w:after="120" w:afterAutospacing="0"/>
        <w:rPr>
          <w:lang w:val="fr-FR"/>
        </w:rPr>
      </w:pPr>
      <w:hyperlink r:id="rId9" w:anchor="bodyftn4" w:history="1">
        <w:r w:rsidR="00A04928" w:rsidRPr="005D5648">
          <w:rPr>
            <w:rStyle w:val="Collegamentoipertestuale"/>
            <w:lang w:val="fr-FR"/>
          </w:rPr>
          <w:t>4</w:t>
        </w:r>
      </w:hyperlink>
      <w:r w:rsidR="00A04928" w:rsidRPr="005D5648">
        <w:rPr>
          <w:lang w:val="fr-FR"/>
        </w:rPr>
        <w:t xml:space="preserve">  Article 13(2) de la Déclaration universelle des droits de l’homme.</w:t>
      </w:r>
    </w:p>
    <w:p w:rsidR="00A04928" w:rsidRPr="005D5648" w:rsidRDefault="0026668F" w:rsidP="001B249E">
      <w:pPr>
        <w:pStyle w:val="notebaspage"/>
        <w:spacing w:before="0" w:beforeAutospacing="0" w:after="120" w:afterAutospacing="0"/>
        <w:rPr>
          <w:lang w:val="fr-FR"/>
        </w:rPr>
      </w:pPr>
      <w:hyperlink r:id="rId10" w:anchor="bodyftn5" w:history="1">
        <w:r w:rsidR="00A04928" w:rsidRPr="005D5648">
          <w:rPr>
            <w:rStyle w:val="Collegamentoipertestuale"/>
            <w:lang w:val="fr-FR"/>
          </w:rPr>
          <w:t>5</w:t>
        </w:r>
      </w:hyperlink>
      <w:r w:rsidR="00A04928" w:rsidRPr="005D5648">
        <w:rPr>
          <w:lang w:val="fr-FR"/>
        </w:rPr>
        <w:t xml:space="preserve">  Voir par exemple l’article paru le 18 mai 2015 dans le journal Le Monde, « Migrants : l’UE met sur pied une opération navale contre les trafiquants en Méditerranée ».</w:t>
      </w:r>
    </w:p>
    <w:p w:rsidR="00AD7148" w:rsidRPr="005D5648" w:rsidRDefault="00AD7148" w:rsidP="00AD7148">
      <w:pPr>
        <w:pStyle w:val="Titolo2"/>
        <w:rPr>
          <w:rStyle w:val="text"/>
          <w:rFonts w:ascii="Times New Roman" w:hAnsi="Times New Roman" w:cs="Times New Roman"/>
          <w:lang w:val="fr-FR"/>
        </w:rPr>
      </w:pPr>
    </w:p>
    <w:p w:rsidR="00AD7148" w:rsidRPr="005D5648" w:rsidRDefault="00AD7148" w:rsidP="001B249E">
      <w:pPr>
        <w:pStyle w:val="Titolo2"/>
        <w:spacing w:before="0" w:after="120"/>
        <w:rPr>
          <w:rFonts w:ascii="Times New Roman" w:hAnsi="Times New Roman" w:cs="Times New Roman"/>
          <w:lang w:val="fr-FR"/>
        </w:rPr>
      </w:pPr>
      <w:r w:rsidRPr="005D5648">
        <w:rPr>
          <w:rStyle w:val="text"/>
          <w:rFonts w:ascii="Times New Roman" w:hAnsi="Times New Roman" w:cs="Times New Roman"/>
          <w:lang w:val="fr-FR"/>
        </w:rPr>
        <w:t>Bibliographie</w:t>
      </w:r>
    </w:p>
    <w:p w:rsidR="00AD7148" w:rsidRPr="005D5648" w:rsidRDefault="00AD7148" w:rsidP="001B249E">
      <w:pPr>
        <w:spacing w:after="120"/>
        <w:rPr>
          <w:rFonts w:ascii="Times New Roman" w:hAnsi="Times New Roman" w:cs="Times New Roman"/>
          <w:lang w:val="fr-FR"/>
        </w:rPr>
      </w:pPr>
      <w:r w:rsidRPr="005D5648">
        <w:rPr>
          <w:rFonts w:ascii="Times New Roman" w:hAnsi="Times New Roman" w:cs="Times New Roman"/>
          <w:lang w:val="fr-FR"/>
        </w:rPr>
        <w:t xml:space="preserve">Des DOI sont automatiquement ajoutés aux références par </w:t>
      </w:r>
      <w:proofErr w:type="spellStart"/>
      <w:r w:rsidRPr="005D5648">
        <w:rPr>
          <w:rFonts w:ascii="Times New Roman" w:hAnsi="Times New Roman" w:cs="Times New Roman"/>
          <w:lang w:val="fr-FR"/>
        </w:rPr>
        <w:t>Bilbo</w:t>
      </w:r>
      <w:proofErr w:type="spellEnd"/>
      <w:r w:rsidRPr="005D5648">
        <w:rPr>
          <w:rFonts w:ascii="Times New Roman" w:hAnsi="Times New Roman" w:cs="Times New Roman"/>
          <w:lang w:val="fr-FR"/>
        </w:rPr>
        <w:t>, l'outil d'annotation bibliographique d'</w:t>
      </w:r>
      <w:proofErr w:type="spellStart"/>
      <w:r w:rsidRPr="005D5648">
        <w:rPr>
          <w:rFonts w:ascii="Times New Roman" w:hAnsi="Times New Roman" w:cs="Times New Roman"/>
          <w:lang w:val="fr-FR"/>
        </w:rPr>
        <w:t>OpenEdition</w:t>
      </w:r>
      <w:proofErr w:type="spellEnd"/>
      <w:r w:rsidRPr="005D5648">
        <w:rPr>
          <w:rFonts w:ascii="Times New Roman" w:hAnsi="Times New Roman" w:cs="Times New Roman"/>
          <w:lang w:val="fr-FR"/>
        </w:rPr>
        <w:t>.</w:t>
      </w:r>
      <w:r w:rsidRPr="005D5648">
        <w:rPr>
          <w:rFonts w:ascii="Times New Roman" w:hAnsi="Times New Roman" w:cs="Times New Roman"/>
          <w:lang w:val="fr-FR"/>
        </w:rPr>
        <w:br/>
        <w:t xml:space="preserve">Les utilisateurs des institutions qui sont abonnées à un des programmes </w:t>
      </w:r>
      <w:proofErr w:type="spellStart"/>
      <w:r w:rsidRPr="005D5648">
        <w:rPr>
          <w:rFonts w:ascii="Times New Roman" w:hAnsi="Times New Roman" w:cs="Times New Roman"/>
          <w:lang w:val="fr-FR"/>
        </w:rPr>
        <w:t>freemium</w:t>
      </w:r>
      <w:proofErr w:type="spellEnd"/>
      <w:r w:rsidRPr="005D5648">
        <w:rPr>
          <w:rFonts w:ascii="Times New Roman" w:hAnsi="Times New Roman" w:cs="Times New Roman"/>
          <w:lang w:val="fr-FR"/>
        </w:rPr>
        <w:t xml:space="preserve"> d'</w:t>
      </w:r>
      <w:proofErr w:type="spellStart"/>
      <w:r w:rsidRPr="005D5648">
        <w:rPr>
          <w:rFonts w:ascii="Times New Roman" w:hAnsi="Times New Roman" w:cs="Times New Roman"/>
          <w:lang w:val="fr-FR"/>
        </w:rPr>
        <w:t>OpenEdition</w:t>
      </w:r>
      <w:proofErr w:type="spellEnd"/>
      <w:r w:rsidRPr="005D5648">
        <w:rPr>
          <w:rFonts w:ascii="Times New Roman" w:hAnsi="Times New Roman" w:cs="Times New Roman"/>
          <w:lang w:val="fr-FR"/>
        </w:rPr>
        <w:t xml:space="preserve"> peuvent télécharger les références bibliographiques pour </w:t>
      </w:r>
      <w:proofErr w:type="spellStart"/>
      <w:r w:rsidRPr="005D5648">
        <w:rPr>
          <w:rFonts w:ascii="Times New Roman" w:hAnsi="Times New Roman" w:cs="Times New Roman"/>
          <w:lang w:val="fr-FR"/>
        </w:rPr>
        <w:t>lequelles</w:t>
      </w:r>
      <w:proofErr w:type="spellEnd"/>
      <w:r w:rsidRPr="005D5648">
        <w:rPr>
          <w:rFonts w:ascii="Times New Roman" w:hAnsi="Times New Roman" w:cs="Times New Roman"/>
          <w:lang w:val="fr-FR"/>
        </w:rPr>
        <w:t xml:space="preserve"> </w:t>
      </w:r>
      <w:proofErr w:type="spellStart"/>
      <w:r w:rsidRPr="005D5648">
        <w:rPr>
          <w:rFonts w:ascii="Times New Roman" w:hAnsi="Times New Roman" w:cs="Times New Roman"/>
          <w:lang w:val="fr-FR"/>
        </w:rPr>
        <w:t>Bilbo</w:t>
      </w:r>
      <w:proofErr w:type="spellEnd"/>
      <w:r w:rsidRPr="005D5648">
        <w:rPr>
          <w:rFonts w:ascii="Times New Roman" w:hAnsi="Times New Roman" w:cs="Times New Roman"/>
          <w:lang w:val="fr-FR"/>
        </w:rPr>
        <w:t xml:space="preserve"> a trouvé un DOI.</w:t>
      </w:r>
    </w:p>
    <w:p w:rsidR="00AD7148" w:rsidRPr="005D5648" w:rsidRDefault="00AD7148" w:rsidP="001B249E">
      <w:pPr>
        <w:pStyle w:val="bibliographie"/>
        <w:spacing w:before="0" w:beforeAutospacing="0" w:after="120" w:afterAutospacing="0"/>
        <w:rPr>
          <w:lang w:val="fr-FR"/>
        </w:rPr>
      </w:pPr>
      <w:r w:rsidRPr="005D5648">
        <w:rPr>
          <w:rStyle w:val="Enfasicorsivo"/>
          <w:rFonts w:eastAsiaTheme="majorEastAsia"/>
          <w:smallCaps/>
          <w:lang w:val="fr-FR"/>
        </w:rPr>
        <w:t>Charte de Lampedusa</w:t>
      </w:r>
      <w:r w:rsidRPr="005D5648">
        <w:rPr>
          <w:lang w:val="fr-FR"/>
        </w:rPr>
        <w:t xml:space="preserve"> (2014). En ligne à </w:t>
      </w:r>
      <w:hyperlink r:id="rId11" w:history="1">
        <w:r w:rsidRPr="005D5648">
          <w:rPr>
            <w:rStyle w:val="Collegamentoipertestuale"/>
            <w:lang w:val="fr-FR"/>
          </w:rPr>
          <w:t>http://www.lacartadilampedusa.org/pdf_carta/charte%20franccais.pdf</w:t>
        </w:r>
      </w:hyperlink>
      <w:r w:rsidRPr="005D5648">
        <w:rPr>
          <w:lang w:val="fr-FR"/>
        </w:rPr>
        <w:t>, consulté le 31 mai 2015.</w:t>
      </w:r>
    </w:p>
    <w:p w:rsidR="00AD7148" w:rsidRPr="005D5648" w:rsidRDefault="00AD7148" w:rsidP="001B249E">
      <w:pPr>
        <w:pStyle w:val="bibliographie"/>
        <w:spacing w:before="0" w:beforeAutospacing="0" w:after="120" w:afterAutospacing="0"/>
        <w:rPr>
          <w:lang w:val="fr-FR"/>
        </w:rPr>
      </w:pPr>
      <w:r w:rsidRPr="00364CE1">
        <w:rPr>
          <w:smallCaps/>
          <w:lang w:val="en-US"/>
        </w:rPr>
        <w:t xml:space="preserve">Clemens, </w:t>
      </w:r>
      <w:r w:rsidRPr="00364CE1">
        <w:rPr>
          <w:lang w:val="en-US"/>
        </w:rPr>
        <w:t>Michael</w:t>
      </w:r>
      <w:r w:rsidRPr="00364CE1">
        <w:rPr>
          <w:smallCaps/>
          <w:lang w:val="en-US"/>
        </w:rPr>
        <w:t xml:space="preserve"> (2011), « </w:t>
      </w:r>
      <w:r w:rsidRPr="00364CE1">
        <w:rPr>
          <w:lang w:val="en-US"/>
        </w:rPr>
        <w:t>Economics and emigration : Trillion-dollar bills on the sidewalk ? », The Journal of Economic Perspectives, vol. 25, n</w:t>
      </w:r>
      <w:r w:rsidRPr="00364CE1">
        <w:rPr>
          <w:vertAlign w:val="superscript"/>
          <w:lang w:val="en-US"/>
        </w:rPr>
        <w:t>o</w:t>
      </w:r>
      <w:r w:rsidRPr="00364CE1">
        <w:rPr>
          <w:lang w:val="en-US"/>
        </w:rPr>
        <w:t> 3, p. 83-106.</w:t>
      </w:r>
      <w:r w:rsidRPr="00364CE1">
        <w:rPr>
          <w:lang w:val="en-US"/>
        </w:rPr>
        <w:br/>
      </w:r>
      <w:r w:rsidRPr="005D5648">
        <w:rPr>
          <w:lang w:val="fr-FR"/>
        </w:rPr>
        <w:t xml:space="preserve">DOI : </w:t>
      </w:r>
      <w:hyperlink r:id="rId12" w:history="1">
        <w:r w:rsidRPr="005D5648">
          <w:rPr>
            <w:rStyle w:val="Collegamentoipertestuale"/>
            <w:lang w:val="fr-FR"/>
          </w:rPr>
          <w:t>10.1257/jep.25.3.83</w:t>
        </w:r>
      </w:hyperlink>
    </w:p>
    <w:p w:rsidR="00AD7148" w:rsidRPr="00364CE1" w:rsidRDefault="00AD7148" w:rsidP="001B249E">
      <w:pPr>
        <w:pStyle w:val="bibliographie"/>
        <w:spacing w:before="0" w:beforeAutospacing="0" w:after="120" w:afterAutospacing="0"/>
        <w:rPr>
          <w:lang w:val="en-US"/>
        </w:rPr>
      </w:pPr>
      <w:r w:rsidRPr="005D5648">
        <w:rPr>
          <w:smallCaps/>
          <w:lang w:val="fr-FR"/>
        </w:rPr>
        <w:t>Dumitru</w:t>
      </w:r>
      <w:r w:rsidRPr="005D5648">
        <w:rPr>
          <w:lang w:val="fr-FR"/>
        </w:rPr>
        <w:t xml:space="preserve">, </w:t>
      </w:r>
      <w:proofErr w:type="spellStart"/>
      <w:r w:rsidRPr="005D5648">
        <w:rPr>
          <w:lang w:val="fr-FR"/>
        </w:rPr>
        <w:t>Speranta</w:t>
      </w:r>
      <w:proofErr w:type="spellEnd"/>
      <w:r w:rsidRPr="005D5648">
        <w:rPr>
          <w:lang w:val="fr-FR"/>
        </w:rPr>
        <w:t xml:space="preserve"> (2013) « Des visas, pas de l’aide ! </w:t>
      </w:r>
      <w:r w:rsidRPr="005D5648">
        <w:rPr>
          <w:caps/>
          <w:lang w:val="fr-FR"/>
        </w:rPr>
        <w:t>D</w:t>
      </w:r>
      <w:r w:rsidRPr="005D5648">
        <w:rPr>
          <w:lang w:val="fr-FR"/>
        </w:rPr>
        <w:t xml:space="preserve">e la migration comme substitut à l’aide au développement », </w:t>
      </w:r>
      <w:r w:rsidRPr="005D5648">
        <w:rPr>
          <w:rStyle w:val="Enfasicorsivo"/>
          <w:rFonts w:eastAsiaTheme="majorEastAsia"/>
          <w:lang w:val="fr-FR"/>
        </w:rPr>
        <w:t>Éthique publique</w:t>
      </w:r>
      <w:r w:rsidRPr="005D5648">
        <w:rPr>
          <w:lang w:val="fr-FR"/>
        </w:rPr>
        <w:t>, vol. 15, n</w:t>
      </w:r>
      <w:r w:rsidRPr="005D5648">
        <w:rPr>
          <w:vertAlign w:val="superscript"/>
          <w:lang w:val="fr-FR"/>
        </w:rPr>
        <w:t>o</w:t>
      </w:r>
      <w:r w:rsidRPr="005D5648">
        <w:rPr>
          <w:lang w:val="fr-FR"/>
        </w:rPr>
        <w:t> 2, p. 77-98.</w:t>
      </w:r>
      <w:r w:rsidRPr="005D5648">
        <w:rPr>
          <w:lang w:val="fr-FR"/>
        </w:rPr>
        <w:br/>
      </w:r>
      <w:r w:rsidRPr="00364CE1">
        <w:rPr>
          <w:lang w:val="en-US"/>
        </w:rPr>
        <w:t xml:space="preserve">DOI : </w:t>
      </w:r>
      <w:hyperlink r:id="rId13" w:history="1">
        <w:r w:rsidRPr="00364CE1">
          <w:rPr>
            <w:rStyle w:val="Collegamentoipertestuale"/>
            <w:lang w:val="en-US"/>
          </w:rPr>
          <w:t>10.4000/ethiquepublique.1231</w:t>
        </w:r>
      </w:hyperlink>
    </w:p>
    <w:p w:rsidR="00AD7148" w:rsidRPr="00364CE1" w:rsidRDefault="00AD7148" w:rsidP="001B249E">
      <w:pPr>
        <w:pStyle w:val="bibliographie"/>
        <w:spacing w:before="0" w:beforeAutospacing="0" w:after="120" w:afterAutospacing="0"/>
        <w:rPr>
          <w:lang w:val="en-US"/>
        </w:rPr>
      </w:pPr>
      <w:r w:rsidRPr="00364CE1">
        <w:rPr>
          <w:smallCaps/>
          <w:lang w:val="en-US"/>
        </w:rPr>
        <w:t>Ferenczi,</w:t>
      </w:r>
      <w:r w:rsidRPr="00364CE1">
        <w:rPr>
          <w:lang w:val="en-US"/>
        </w:rPr>
        <w:t xml:space="preserve"> Imre, et Walter </w:t>
      </w:r>
      <w:r w:rsidRPr="00364CE1">
        <w:rPr>
          <w:smallCaps/>
          <w:lang w:val="en-US"/>
        </w:rPr>
        <w:t>Willcox</w:t>
      </w:r>
      <w:r w:rsidRPr="00364CE1">
        <w:rPr>
          <w:lang w:val="en-US"/>
        </w:rPr>
        <w:t xml:space="preserve"> (1929), </w:t>
      </w:r>
      <w:r w:rsidRPr="00364CE1">
        <w:rPr>
          <w:rStyle w:val="Enfasicorsivo"/>
          <w:rFonts w:eastAsiaTheme="majorEastAsia"/>
          <w:lang w:val="en-US"/>
        </w:rPr>
        <w:t>International Migration, Volume I : Statistics</w:t>
      </w:r>
      <w:r w:rsidRPr="00364CE1">
        <w:rPr>
          <w:lang w:val="en-US"/>
        </w:rPr>
        <w:t>,New York, NBER.</w:t>
      </w:r>
    </w:p>
    <w:p w:rsidR="00AD7148" w:rsidRPr="00364CE1" w:rsidRDefault="00AD7148" w:rsidP="001B249E">
      <w:pPr>
        <w:pStyle w:val="bibliographie"/>
        <w:spacing w:before="0" w:beforeAutospacing="0" w:after="120" w:afterAutospacing="0"/>
        <w:rPr>
          <w:lang w:val="en-US"/>
        </w:rPr>
      </w:pPr>
      <w:r w:rsidRPr="00364CE1">
        <w:rPr>
          <w:smallCaps/>
          <w:lang w:val="en-US"/>
        </w:rPr>
        <w:t>Hatton,</w:t>
      </w:r>
      <w:r w:rsidRPr="00364CE1">
        <w:rPr>
          <w:lang w:val="en-US"/>
        </w:rPr>
        <w:t xml:space="preserve"> Timothy, et Jeffrey G. </w:t>
      </w:r>
      <w:r w:rsidRPr="00364CE1">
        <w:rPr>
          <w:smallCaps/>
          <w:lang w:val="en-US"/>
        </w:rPr>
        <w:t>Williamson</w:t>
      </w:r>
      <w:r w:rsidRPr="00364CE1">
        <w:rPr>
          <w:lang w:val="en-US"/>
        </w:rPr>
        <w:t xml:space="preserve"> (1998), </w:t>
      </w:r>
      <w:r w:rsidRPr="00364CE1">
        <w:rPr>
          <w:rStyle w:val="Enfasicorsivo"/>
          <w:rFonts w:eastAsiaTheme="majorEastAsia"/>
          <w:lang w:val="en-US"/>
        </w:rPr>
        <w:t>The Age of Mass Migration</w:t>
      </w:r>
      <w:r w:rsidRPr="00364CE1">
        <w:rPr>
          <w:lang w:val="en-US"/>
        </w:rPr>
        <w:t>, New York, Oxford University Press.</w:t>
      </w:r>
    </w:p>
    <w:p w:rsidR="00AD7148" w:rsidRPr="005D5648" w:rsidRDefault="00AD7148" w:rsidP="001B249E">
      <w:pPr>
        <w:pStyle w:val="bibliographie"/>
        <w:spacing w:before="0" w:beforeAutospacing="0" w:after="120" w:afterAutospacing="0"/>
        <w:rPr>
          <w:lang w:val="fr-FR"/>
        </w:rPr>
      </w:pPr>
      <w:r w:rsidRPr="00364CE1">
        <w:rPr>
          <w:smallCaps/>
          <w:lang w:val="en-US"/>
        </w:rPr>
        <w:t>Kennan, J</w:t>
      </w:r>
      <w:r w:rsidRPr="00364CE1">
        <w:rPr>
          <w:lang w:val="en-US"/>
        </w:rPr>
        <w:t>ohn</w:t>
      </w:r>
      <w:r w:rsidRPr="00364CE1">
        <w:rPr>
          <w:smallCaps/>
          <w:lang w:val="en-US"/>
        </w:rPr>
        <w:t xml:space="preserve"> (2013), « </w:t>
      </w:r>
      <w:r w:rsidRPr="00364CE1">
        <w:rPr>
          <w:lang w:val="en-US"/>
        </w:rPr>
        <w:t>Open borders », Review of Economic Dynamics, vol. 16, n</w:t>
      </w:r>
      <w:r w:rsidRPr="00364CE1">
        <w:rPr>
          <w:vertAlign w:val="superscript"/>
          <w:lang w:val="en-US"/>
        </w:rPr>
        <w:t>o</w:t>
      </w:r>
      <w:r w:rsidRPr="00364CE1">
        <w:rPr>
          <w:lang w:val="en-US"/>
        </w:rPr>
        <w:t> 2, p. L1-L13.</w:t>
      </w:r>
      <w:r w:rsidRPr="00364CE1">
        <w:rPr>
          <w:lang w:val="en-US"/>
        </w:rPr>
        <w:br/>
      </w:r>
      <w:r w:rsidRPr="005D5648">
        <w:rPr>
          <w:lang w:val="fr-FR"/>
        </w:rPr>
        <w:t xml:space="preserve">DOI : </w:t>
      </w:r>
      <w:hyperlink r:id="rId14" w:history="1">
        <w:r w:rsidRPr="005D5648">
          <w:rPr>
            <w:rStyle w:val="Collegamentoipertestuale"/>
            <w:lang w:val="fr-FR"/>
          </w:rPr>
          <w:t>10.1016/j.red.2012.08.003</w:t>
        </w:r>
      </w:hyperlink>
    </w:p>
    <w:p w:rsidR="00AD7148" w:rsidRPr="005D5648" w:rsidRDefault="00AD7148" w:rsidP="001B249E">
      <w:pPr>
        <w:pStyle w:val="bibliographie"/>
        <w:spacing w:before="0" w:beforeAutospacing="0" w:after="120" w:afterAutospacing="0"/>
        <w:rPr>
          <w:lang w:val="fr-FR"/>
        </w:rPr>
      </w:pPr>
      <w:r w:rsidRPr="005D5648">
        <w:rPr>
          <w:smallCaps/>
          <w:lang w:val="fr-FR"/>
        </w:rPr>
        <w:lastRenderedPageBreak/>
        <w:t xml:space="preserve">Office québécois de la langue française (2005). </w:t>
      </w:r>
      <w:r w:rsidRPr="005D5648">
        <w:rPr>
          <w:lang w:val="fr-FR"/>
        </w:rPr>
        <w:t>Le grand dictionnaire terminologique</w:t>
      </w:r>
      <w:r w:rsidRPr="005D5648">
        <w:rPr>
          <w:smallCaps/>
          <w:lang w:val="fr-FR"/>
        </w:rPr>
        <w:t xml:space="preserve">, </w:t>
      </w:r>
      <w:r w:rsidRPr="005D5648">
        <w:rPr>
          <w:lang w:val="fr-FR"/>
        </w:rPr>
        <w:t>En ligne à gdt.oqlf.gouv.qc.ca, consulté le 8 juin 2015.</w:t>
      </w:r>
    </w:p>
    <w:p w:rsidR="00AD7148" w:rsidRPr="005D5648" w:rsidRDefault="00AD7148" w:rsidP="001B249E">
      <w:pPr>
        <w:pStyle w:val="bibliographie"/>
        <w:spacing w:before="0" w:beforeAutospacing="0" w:after="120" w:afterAutospacing="0"/>
        <w:rPr>
          <w:lang w:val="fr-FR"/>
        </w:rPr>
      </w:pPr>
      <w:r w:rsidRPr="005D5648">
        <w:rPr>
          <w:rStyle w:val="Enfasicorsivo"/>
          <w:rFonts w:eastAsiaTheme="majorEastAsia"/>
          <w:smallCaps/>
          <w:lang w:val="fr-FR"/>
        </w:rPr>
        <w:t>Le Monde</w:t>
      </w:r>
      <w:r w:rsidRPr="005D5648">
        <w:rPr>
          <w:lang w:val="fr-FR"/>
        </w:rPr>
        <w:t xml:space="preserve"> (2015), « Migrants : l’UE met sur pied une opération navale contre les trafiquants en Méditerranée » 18 mai.</w:t>
      </w:r>
    </w:p>
    <w:p w:rsidR="00AD7148" w:rsidRPr="00364CE1" w:rsidRDefault="00AD7148" w:rsidP="001B249E">
      <w:pPr>
        <w:pStyle w:val="bibliographie"/>
        <w:spacing w:before="0" w:beforeAutospacing="0" w:after="120" w:afterAutospacing="0"/>
        <w:rPr>
          <w:lang w:val="en-US"/>
        </w:rPr>
      </w:pPr>
      <w:r w:rsidRPr="00364CE1">
        <w:rPr>
          <w:smallCaps/>
          <w:lang w:val="en-US"/>
        </w:rPr>
        <w:t>McKeown,</w:t>
      </w:r>
      <w:r w:rsidRPr="00364CE1">
        <w:rPr>
          <w:lang w:val="en-US"/>
        </w:rPr>
        <w:t xml:space="preserve"> Adam (2004), « Global Migration 1840-1945 », </w:t>
      </w:r>
      <w:r w:rsidRPr="00364CE1">
        <w:rPr>
          <w:rStyle w:val="Enfasicorsivo"/>
          <w:rFonts w:eastAsiaTheme="majorEastAsia"/>
          <w:lang w:val="en-US"/>
        </w:rPr>
        <w:t>Journal of World History</w:t>
      </w:r>
      <w:r w:rsidRPr="00364CE1">
        <w:rPr>
          <w:lang w:val="en-US"/>
        </w:rPr>
        <w:t>, vol. 15, n</w:t>
      </w:r>
      <w:r w:rsidRPr="00364CE1">
        <w:rPr>
          <w:vertAlign w:val="superscript"/>
          <w:lang w:val="en-US"/>
        </w:rPr>
        <w:t>o</w:t>
      </w:r>
      <w:r w:rsidRPr="00364CE1">
        <w:rPr>
          <w:lang w:val="en-US"/>
        </w:rPr>
        <w:t> 2, p. 155-189.</w:t>
      </w:r>
    </w:p>
    <w:p w:rsidR="00AD7148" w:rsidRPr="005D5648" w:rsidRDefault="00AD7148" w:rsidP="001B249E">
      <w:pPr>
        <w:pStyle w:val="bibliographie"/>
        <w:spacing w:before="0" w:beforeAutospacing="0" w:after="120" w:afterAutospacing="0"/>
        <w:rPr>
          <w:lang w:val="fr-FR"/>
        </w:rPr>
      </w:pPr>
      <w:r w:rsidRPr="005D5648">
        <w:rPr>
          <w:smallCaps/>
          <w:lang w:val="fr-FR"/>
        </w:rPr>
        <w:t>Nations Unies</w:t>
      </w:r>
      <w:r w:rsidRPr="005D5648">
        <w:rPr>
          <w:lang w:val="fr-FR"/>
        </w:rPr>
        <w:t xml:space="preserve"> (1948), Déclaration universelle des droits de l’homme. En ligne à </w:t>
      </w:r>
      <w:hyperlink r:id="rId15" w:history="1">
        <w:r w:rsidRPr="005D5648">
          <w:rPr>
            <w:rStyle w:val="Collegamentoipertestuale"/>
            <w:lang w:val="fr-FR"/>
          </w:rPr>
          <w:t>http://www.un.org/fr/documents/udhr/</w:t>
        </w:r>
      </w:hyperlink>
      <w:r w:rsidRPr="005D5648">
        <w:rPr>
          <w:lang w:val="fr-FR"/>
        </w:rPr>
        <w:t>, consulté le 8 juin 2015.</w:t>
      </w:r>
    </w:p>
    <w:p w:rsidR="00AD7148" w:rsidRPr="00364CE1" w:rsidRDefault="00AD7148" w:rsidP="001B249E">
      <w:pPr>
        <w:pStyle w:val="bibliographie"/>
        <w:spacing w:before="0" w:beforeAutospacing="0" w:after="120" w:afterAutospacing="0"/>
        <w:rPr>
          <w:lang w:val="en-US"/>
        </w:rPr>
      </w:pPr>
      <w:r w:rsidRPr="00364CE1">
        <w:rPr>
          <w:smallCaps/>
          <w:lang w:val="en-US"/>
        </w:rPr>
        <w:t>Pritchett</w:t>
      </w:r>
      <w:r w:rsidRPr="00364CE1">
        <w:rPr>
          <w:lang w:val="en-US"/>
        </w:rPr>
        <w:t>, Lant (2006), Let Their People Come : Breaking the Gridlock on Global Labor Mobility, Washington DC, Center for Global Development.</w:t>
      </w:r>
    </w:p>
    <w:p w:rsidR="00AD7148" w:rsidRPr="00364CE1" w:rsidRDefault="00AD7148" w:rsidP="001B249E">
      <w:pPr>
        <w:pStyle w:val="bibliographie"/>
        <w:spacing w:before="0" w:beforeAutospacing="0" w:after="120" w:afterAutospacing="0"/>
        <w:rPr>
          <w:lang w:val="en-US"/>
        </w:rPr>
      </w:pPr>
      <w:r w:rsidRPr="00364CE1">
        <w:rPr>
          <w:rStyle w:val="Enfasicorsivo"/>
          <w:rFonts w:eastAsiaTheme="majorEastAsia"/>
          <w:smallCaps/>
          <w:lang w:val="en-US"/>
        </w:rPr>
        <w:t>The New York Times</w:t>
      </w:r>
      <w:r w:rsidRPr="00364CE1">
        <w:rPr>
          <w:lang w:val="en-US"/>
        </w:rPr>
        <w:t xml:space="preserve"> (1903), « Big Army of Immigrants ; Nine ships bring 12,668 Foreigners from European Ports », 3 avril.</w:t>
      </w:r>
    </w:p>
    <w:p w:rsidR="00AD7148" w:rsidRPr="005D5648" w:rsidRDefault="00AD7148" w:rsidP="001B249E">
      <w:pPr>
        <w:pStyle w:val="Titolo3"/>
        <w:spacing w:before="0" w:after="120"/>
        <w:rPr>
          <w:rFonts w:ascii="Times New Roman" w:hAnsi="Times New Roman" w:cs="Times New Roman"/>
          <w:lang w:val="fr-FR"/>
        </w:rPr>
      </w:pPr>
      <w:r w:rsidRPr="005D5648">
        <w:rPr>
          <w:rFonts w:ascii="Times New Roman" w:hAnsi="Times New Roman" w:cs="Times New Roman"/>
          <w:lang w:val="fr-FR"/>
        </w:rPr>
        <w:t>Référence électronique</w:t>
      </w:r>
    </w:p>
    <w:p w:rsidR="00AD7148" w:rsidRPr="005D5648" w:rsidRDefault="00AD7148" w:rsidP="001B249E">
      <w:pPr>
        <w:pStyle w:val="NormaleWeb"/>
        <w:spacing w:before="0" w:beforeAutospacing="0" w:after="120" w:afterAutospacing="0"/>
        <w:rPr>
          <w:lang w:val="fr-FR"/>
        </w:rPr>
      </w:pPr>
      <w:proofErr w:type="spellStart"/>
      <w:r w:rsidRPr="005D5648">
        <w:rPr>
          <w:rStyle w:val="Enfasigrassetto"/>
          <w:lang w:val="fr-FR"/>
        </w:rPr>
        <w:t>Idil</w:t>
      </w:r>
      <w:proofErr w:type="spellEnd"/>
      <w:r w:rsidRPr="005D5648">
        <w:rPr>
          <w:rStyle w:val="Enfasigrassetto"/>
          <w:lang w:val="fr-FR"/>
        </w:rPr>
        <w:t xml:space="preserve"> </w:t>
      </w:r>
      <w:proofErr w:type="spellStart"/>
      <w:r w:rsidRPr="005D5648">
        <w:rPr>
          <w:rStyle w:val="familyname"/>
          <w:b/>
          <w:bCs/>
          <w:lang w:val="fr-FR"/>
        </w:rPr>
        <w:t>Atak</w:t>
      </w:r>
      <w:proofErr w:type="spellEnd"/>
      <w:r w:rsidRPr="005D5648">
        <w:rPr>
          <w:rStyle w:val="Enfasigrassetto"/>
          <w:lang w:val="fr-FR"/>
        </w:rPr>
        <w:t xml:space="preserve"> et </w:t>
      </w:r>
      <w:proofErr w:type="spellStart"/>
      <w:r w:rsidRPr="005D5648">
        <w:rPr>
          <w:rStyle w:val="Enfasigrassetto"/>
          <w:lang w:val="fr-FR"/>
        </w:rPr>
        <w:t>Speranta</w:t>
      </w:r>
      <w:proofErr w:type="spellEnd"/>
      <w:r w:rsidRPr="005D5648">
        <w:rPr>
          <w:rStyle w:val="Enfasigrassetto"/>
          <w:lang w:val="fr-FR"/>
        </w:rPr>
        <w:t xml:space="preserve"> </w:t>
      </w:r>
      <w:r w:rsidRPr="005D5648">
        <w:rPr>
          <w:rStyle w:val="familyname"/>
          <w:b/>
          <w:bCs/>
          <w:lang w:val="fr-FR"/>
        </w:rPr>
        <w:t>Dumitru</w:t>
      </w:r>
      <w:r w:rsidRPr="005D5648">
        <w:rPr>
          <w:rStyle w:val="Enfasigrassetto"/>
          <w:lang w:val="fr-FR"/>
        </w:rPr>
        <w:t xml:space="preserve"> </w:t>
      </w:r>
      <w:r w:rsidRPr="005D5648">
        <w:rPr>
          <w:lang w:val="fr-FR"/>
        </w:rPr>
        <w:t xml:space="preserve">, « Pourquoi penser l’ouverture des frontières », </w:t>
      </w:r>
      <w:r w:rsidRPr="005D5648">
        <w:rPr>
          <w:rStyle w:val="Enfasicorsivo"/>
          <w:rFonts w:eastAsiaTheme="majorEastAsia"/>
          <w:lang w:val="fr-FR"/>
        </w:rPr>
        <w:t>Éthique publique</w:t>
      </w:r>
      <w:r w:rsidRPr="005D5648">
        <w:rPr>
          <w:lang w:val="fr-FR"/>
        </w:rPr>
        <w:t xml:space="preserve"> [En ligne], vol. 17, n° 1 | 2015, mis en ligne le 18 juin 2015, consulté le 05 octobre 2017. URL : http://ethiquepublique.revues.org/1727</w:t>
      </w:r>
    </w:p>
    <w:p w:rsidR="001B249E" w:rsidRPr="005D5648" w:rsidRDefault="001B249E" w:rsidP="001B249E">
      <w:pPr>
        <w:pStyle w:val="Titolo2"/>
        <w:spacing w:before="0" w:after="120"/>
        <w:rPr>
          <w:rStyle w:val="text"/>
          <w:rFonts w:ascii="Times New Roman" w:hAnsi="Times New Roman" w:cs="Times New Roman"/>
          <w:lang w:val="fr-FR"/>
        </w:rPr>
      </w:pPr>
    </w:p>
    <w:p w:rsidR="00AD7148" w:rsidRPr="005D5648" w:rsidRDefault="00AD7148" w:rsidP="001B249E">
      <w:pPr>
        <w:pStyle w:val="Titolo2"/>
        <w:spacing w:before="0" w:after="120"/>
        <w:rPr>
          <w:rFonts w:ascii="Times New Roman" w:hAnsi="Times New Roman" w:cs="Times New Roman"/>
          <w:lang w:val="fr-FR"/>
        </w:rPr>
      </w:pPr>
      <w:r w:rsidRPr="005D5648">
        <w:rPr>
          <w:rStyle w:val="text"/>
          <w:rFonts w:ascii="Times New Roman" w:hAnsi="Times New Roman" w:cs="Times New Roman"/>
          <w:lang w:val="fr-FR"/>
        </w:rPr>
        <w:t>Auteurs</w:t>
      </w:r>
    </w:p>
    <w:p w:rsidR="00AD7148" w:rsidRPr="005D5648" w:rsidRDefault="0026668F" w:rsidP="001B249E">
      <w:pPr>
        <w:pStyle w:val="Titolo3"/>
        <w:spacing w:before="0" w:after="120"/>
        <w:rPr>
          <w:rFonts w:ascii="Times New Roman" w:hAnsi="Times New Roman" w:cs="Times New Roman"/>
          <w:lang w:val="fr-FR"/>
        </w:rPr>
      </w:pPr>
      <w:hyperlink r:id="rId16" w:history="1">
        <w:proofErr w:type="spellStart"/>
        <w:r w:rsidR="00AD7148" w:rsidRPr="005D5648">
          <w:rPr>
            <w:rStyle w:val="Collegamentoipertestuale"/>
            <w:rFonts w:ascii="Times New Roman" w:hAnsi="Times New Roman" w:cs="Times New Roman"/>
            <w:lang w:val="fr-FR"/>
          </w:rPr>
          <w:t>Idil</w:t>
        </w:r>
        <w:proofErr w:type="spellEnd"/>
        <w:r w:rsidR="00AD7148" w:rsidRPr="005D5648">
          <w:rPr>
            <w:rStyle w:val="Collegamentoipertestuale"/>
            <w:rFonts w:ascii="Times New Roman" w:hAnsi="Times New Roman" w:cs="Times New Roman"/>
            <w:lang w:val="fr-FR"/>
          </w:rPr>
          <w:t xml:space="preserve"> </w:t>
        </w:r>
        <w:proofErr w:type="spellStart"/>
        <w:r w:rsidR="00AD7148" w:rsidRPr="005D5648">
          <w:rPr>
            <w:rStyle w:val="familyname"/>
            <w:rFonts w:ascii="Times New Roman" w:hAnsi="Times New Roman" w:cs="Times New Roman"/>
            <w:color w:val="0000FF"/>
            <w:u w:val="single"/>
            <w:lang w:val="fr-FR"/>
          </w:rPr>
          <w:t>Atak</w:t>
        </w:r>
        <w:proofErr w:type="spellEnd"/>
      </w:hyperlink>
    </w:p>
    <w:p w:rsidR="00AD7148" w:rsidRPr="005D5648" w:rsidRDefault="00AD7148" w:rsidP="001B249E">
      <w:pPr>
        <w:pStyle w:val="descriptionauteur"/>
        <w:spacing w:before="0" w:beforeAutospacing="0" w:after="120" w:afterAutospacing="0"/>
        <w:rPr>
          <w:lang w:val="fr-FR"/>
        </w:rPr>
      </w:pPr>
      <w:proofErr w:type="spellStart"/>
      <w:r w:rsidRPr="005D5648">
        <w:rPr>
          <w:lang w:val="fr-FR"/>
        </w:rPr>
        <w:t>Idil</w:t>
      </w:r>
      <w:proofErr w:type="spellEnd"/>
      <w:r w:rsidRPr="005D5648">
        <w:rPr>
          <w:lang w:val="fr-FR"/>
        </w:rPr>
        <w:t xml:space="preserve"> </w:t>
      </w:r>
      <w:proofErr w:type="spellStart"/>
      <w:r w:rsidRPr="005D5648">
        <w:rPr>
          <w:lang w:val="fr-FR"/>
        </w:rPr>
        <w:t>Atak</w:t>
      </w:r>
      <w:proofErr w:type="spellEnd"/>
      <w:r w:rsidRPr="005D5648">
        <w:rPr>
          <w:lang w:val="fr-FR"/>
        </w:rPr>
        <w:t xml:space="preserve"> est docteure en droit et professeure adjointe au Département de criminologie de l’Université </w:t>
      </w:r>
      <w:proofErr w:type="spellStart"/>
      <w:r w:rsidRPr="005D5648">
        <w:rPr>
          <w:lang w:val="fr-FR"/>
        </w:rPr>
        <w:t>Ryerson</w:t>
      </w:r>
      <w:proofErr w:type="spellEnd"/>
      <w:r w:rsidRPr="005D5648">
        <w:rPr>
          <w:lang w:val="fr-FR"/>
        </w:rPr>
        <w:t xml:space="preserve">. Présidente de l’Association canadienne d’études sur les réfugiés et la migration forcée (ACERMF), elle est également associée de recherche à la Chaire Hans et Tamar Oppenheimer en droit international public de l’Université McGill. Elle enseigne des cours d’Éthique en justice criminelle, inégalités sociales et migrations, sécurité et droits humains. </w:t>
      </w:r>
      <w:proofErr w:type="spellStart"/>
      <w:r w:rsidRPr="005D5648">
        <w:rPr>
          <w:lang w:val="fr-FR"/>
        </w:rPr>
        <w:t>Idil</w:t>
      </w:r>
      <w:proofErr w:type="spellEnd"/>
      <w:r w:rsidRPr="005D5648">
        <w:rPr>
          <w:lang w:val="fr-FR"/>
        </w:rPr>
        <w:t xml:space="preserve"> </w:t>
      </w:r>
      <w:proofErr w:type="spellStart"/>
      <w:r w:rsidRPr="005D5648">
        <w:rPr>
          <w:lang w:val="fr-FR"/>
        </w:rPr>
        <w:t>Atak</w:t>
      </w:r>
      <w:proofErr w:type="spellEnd"/>
      <w:r w:rsidRPr="005D5648">
        <w:rPr>
          <w:lang w:val="fr-FR"/>
        </w:rPr>
        <w:t xml:space="preserve"> mène actuellement une recherche subventionnée par le Conseil de recherches en sciences humaines (CRSH), explorant la criminalisation de la migration et de l’asile au Canada et en Europe.</w:t>
      </w:r>
    </w:p>
    <w:p w:rsidR="00AD7148" w:rsidRPr="005D5648" w:rsidRDefault="0026668F" w:rsidP="001B249E">
      <w:pPr>
        <w:pStyle w:val="Titolo3"/>
        <w:spacing w:before="0" w:after="120"/>
        <w:rPr>
          <w:rFonts w:ascii="Times New Roman" w:hAnsi="Times New Roman" w:cs="Times New Roman"/>
          <w:lang w:val="fr-FR"/>
        </w:rPr>
      </w:pPr>
      <w:hyperlink r:id="rId17" w:history="1">
        <w:proofErr w:type="spellStart"/>
        <w:r w:rsidR="00AD7148" w:rsidRPr="005D5648">
          <w:rPr>
            <w:rStyle w:val="Collegamentoipertestuale"/>
            <w:rFonts w:ascii="Times New Roman" w:hAnsi="Times New Roman" w:cs="Times New Roman"/>
            <w:lang w:val="fr-FR"/>
          </w:rPr>
          <w:t>Speranta</w:t>
        </w:r>
        <w:proofErr w:type="spellEnd"/>
        <w:r w:rsidR="00AD7148" w:rsidRPr="005D5648">
          <w:rPr>
            <w:rStyle w:val="Collegamentoipertestuale"/>
            <w:rFonts w:ascii="Times New Roman" w:hAnsi="Times New Roman" w:cs="Times New Roman"/>
            <w:lang w:val="fr-FR"/>
          </w:rPr>
          <w:t xml:space="preserve"> </w:t>
        </w:r>
        <w:r w:rsidR="00AD7148" w:rsidRPr="005D5648">
          <w:rPr>
            <w:rStyle w:val="familyname"/>
            <w:rFonts w:ascii="Times New Roman" w:hAnsi="Times New Roman" w:cs="Times New Roman"/>
            <w:color w:val="0000FF"/>
            <w:u w:val="single"/>
            <w:lang w:val="fr-FR"/>
          </w:rPr>
          <w:t>Dumitru</w:t>
        </w:r>
      </w:hyperlink>
    </w:p>
    <w:p w:rsidR="00AD7148" w:rsidRPr="005D5648" w:rsidRDefault="00AD7148" w:rsidP="001B249E">
      <w:pPr>
        <w:pStyle w:val="descriptionauteur"/>
        <w:spacing w:before="0" w:beforeAutospacing="0" w:after="120" w:afterAutospacing="0"/>
        <w:rPr>
          <w:lang w:val="fr-FR"/>
        </w:rPr>
      </w:pPr>
      <w:proofErr w:type="spellStart"/>
      <w:r w:rsidRPr="005D5648">
        <w:rPr>
          <w:lang w:val="fr-FR"/>
        </w:rPr>
        <w:t>Speranta</w:t>
      </w:r>
      <w:proofErr w:type="spellEnd"/>
      <w:r w:rsidRPr="005D5648">
        <w:rPr>
          <w:lang w:val="fr-FR"/>
        </w:rPr>
        <w:t xml:space="preserve"> Dumitru est maîtresse de conférences en Science politique à la Faculté de droit de l’Université Paris Descartes et membre du CERLIS, CNRS. Elle dirige le projet de recherche « Migration et développement humain : opportunités et discriminations de la personne migrante en demande de régularisation » (PICRI, </w:t>
      </w:r>
      <w:proofErr w:type="spellStart"/>
      <w:r w:rsidRPr="005D5648">
        <w:rPr>
          <w:lang w:val="fr-FR"/>
        </w:rPr>
        <w:t>IdF</w:t>
      </w:r>
      <w:proofErr w:type="spellEnd"/>
      <w:r w:rsidRPr="005D5648">
        <w:rPr>
          <w:lang w:val="fr-FR"/>
        </w:rPr>
        <w:t xml:space="preserve">, 2014-2017) et l’équipe Paris Descartes du projet « Théories politiques de l’immigration et nationalisme méthodologique » (USPC, 2013-2016). Dans ses travaux, elle cherche à comprendre comment la perception de certaines formes de mobilité comme « migration » change nos cadres habituels de pensée. Le dernier numéro de revue qu’elle a édité s’intitule </w:t>
      </w:r>
      <w:r w:rsidRPr="005D5648">
        <w:rPr>
          <w:rStyle w:val="Enfasicorsivo"/>
          <w:rFonts w:eastAsiaTheme="majorEastAsia"/>
          <w:lang w:val="fr-FR"/>
        </w:rPr>
        <w:t>Les sciences sociales sont-elles nationalistes ?</w:t>
      </w:r>
      <w:r w:rsidRPr="005D5648">
        <w:rPr>
          <w:lang w:val="fr-FR"/>
        </w:rPr>
        <w:t xml:space="preserve"> (Raisons politiques, 2014).</w:t>
      </w:r>
    </w:p>
    <w:p w:rsidR="00AD7148" w:rsidRPr="005D5648" w:rsidRDefault="00AD7148" w:rsidP="001B249E">
      <w:pPr>
        <w:pStyle w:val="Titolo4"/>
        <w:spacing w:before="0" w:after="120"/>
        <w:rPr>
          <w:rFonts w:ascii="Times New Roman" w:hAnsi="Times New Roman" w:cs="Times New Roman"/>
          <w:lang w:val="fr-FR"/>
        </w:rPr>
      </w:pPr>
      <w:r w:rsidRPr="005D5648">
        <w:rPr>
          <w:rFonts w:ascii="Times New Roman" w:hAnsi="Times New Roman" w:cs="Times New Roman"/>
          <w:lang w:val="fr-FR"/>
        </w:rPr>
        <w:t>Articles du même auteur</w:t>
      </w:r>
    </w:p>
    <w:p w:rsidR="00AD7148" w:rsidRPr="005D5648" w:rsidRDefault="0026668F" w:rsidP="001B249E">
      <w:pPr>
        <w:numPr>
          <w:ilvl w:val="0"/>
          <w:numId w:val="3"/>
        </w:numPr>
        <w:spacing w:after="120" w:line="240" w:lineRule="auto"/>
        <w:ind w:left="0"/>
        <w:rPr>
          <w:rFonts w:ascii="Times New Roman" w:hAnsi="Times New Roman" w:cs="Times New Roman"/>
          <w:lang w:val="fr-FR"/>
        </w:rPr>
      </w:pPr>
      <w:hyperlink r:id="rId18" w:history="1">
        <w:r w:rsidR="00AD7148" w:rsidRPr="005D5648">
          <w:rPr>
            <w:rStyle w:val="Collegamentoipertestuale"/>
            <w:rFonts w:ascii="Times New Roman" w:hAnsi="Times New Roman" w:cs="Times New Roman"/>
            <w:lang w:val="fr-FR"/>
          </w:rPr>
          <w:t xml:space="preserve">Des visas, pas de l’aide ! </w:t>
        </w:r>
        <w:r w:rsidR="00AD7148" w:rsidRPr="005D5648">
          <w:rPr>
            <w:rStyle w:val="Collegamentoipertestuale"/>
            <w:rFonts w:ascii="Times New Roman" w:hAnsi="Times New Roman" w:cs="Times New Roman"/>
            <w:caps/>
            <w:lang w:val="fr-FR"/>
          </w:rPr>
          <w:t>D</w:t>
        </w:r>
        <w:r w:rsidR="00AD7148" w:rsidRPr="005D5648">
          <w:rPr>
            <w:rStyle w:val="Collegamentoipertestuale"/>
            <w:rFonts w:ascii="Times New Roman" w:hAnsi="Times New Roman" w:cs="Times New Roman"/>
            <w:lang w:val="fr-FR"/>
          </w:rPr>
          <w:t>e la migration comme substitut à l’aide au développement</w:t>
        </w:r>
      </w:hyperlink>
      <w:r w:rsidR="00AD7148" w:rsidRPr="005D5648">
        <w:rPr>
          <w:rFonts w:ascii="Times New Roman" w:hAnsi="Times New Roman" w:cs="Times New Roman"/>
          <w:lang w:val="fr-FR"/>
        </w:rPr>
        <w:t xml:space="preserve"> </w:t>
      </w:r>
      <w:r w:rsidR="00AD7148" w:rsidRPr="005D5648">
        <w:rPr>
          <w:rStyle w:val="fulltext"/>
          <w:rFonts w:ascii="Times New Roman" w:hAnsi="Times New Roman" w:cs="Times New Roman"/>
          <w:lang w:val="fr-FR"/>
        </w:rPr>
        <w:t>[Texte intégral]</w:t>
      </w:r>
    </w:p>
    <w:p w:rsidR="00AD7148" w:rsidRPr="005D5648" w:rsidRDefault="00AD7148" w:rsidP="001B249E">
      <w:pPr>
        <w:spacing w:after="120"/>
        <w:rPr>
          <w:rFonts w:ascii="Times New Roman" w:hAnsi="Times New Roman" w:cs="Times New Roman"/>
          <w:lang w:val="fr-FR"/>
        </w:rPr>
      </w:pPr>
      <w:r w:rsidRPr="005D5648">
        <w:rPr>
          <w:rFonts w:ascii="Times New Roman" w:hAnsi="Times New Roman" w:cs="Times New Roman"/>
          <w:lang w:val="fr-FR"/>
        </w:rPr>
        <w:t xml:space="preserve">Paru dans </w:t>
      </w:r>
      <w:r w:rsidRPr="005D5648">
        <w:rPr>
          <w:rStyle w:val="Enfasicorsivo"/>
          <w:rFonts w:ascii="Times New Roman" w:hAnsi="Times New Roman" w:cs="Times New Roman"/>
          <w:lang w:val="fr-FR"/>
        </w:rPr>
        <w:t>Éthique publique</w:t>
      </w:r>
      <w:r w:rsidRPr="005D5648">
        <w:rPr>
          <w:rFonts w:ascii="Times New Roman" w:hAnsi="Times New Roman" w:cs="Times New Roman"/>
          <w:lang w:val="fr-FR"/>
        </w:rPr>
        <w:t xml:space="preserve">, </w:t>
      </w:r>
      <w:hyperlink r:id="rId19" w:history="1">
        <w:r w:rsidRPr="005D5648">
          <w:rPr>
            <w:rStyle w:val="Collegamentoipertestuale"/>
            <w:rFonts w:ascii="Times New Roman" w:hAnsi="Times New Roman" w:cs="Times New Roman"/>
            <w:lang w:val="fr-FR"/>
          </w:rPr>
          <w:t>vol. 15, n° 2 | 2013</w:t>
        </w:r>
      </w:hyperlink>
    </w:p>
    <w:p w:rsidR="001B249E" w:rsidRPr="005D5648" w:rsidRDefault="001B249E" w:rsidP="001B249E">
      <w:pPr>
        <w:pStyle w:val="Titolo2"/>
        <w:spacing w:before="0" w:after="120"/>
        <w:rPr>
          <w:rStyle w:val="text"/>
          <w:rFonts w:ascii="Times New Roman" w:hAnsi="Times New Roman" w:cs="Times New Roman"/>
          <w:lang w:val="fr-FR"/>
        </w:rPr>
      </w:pPr>
    </w:p>
    <w:p w:rsidR="00AD7148" w:rsidRPr="005D5648" w:rsidRDefault="00AD7148" w:rsidP="001B249E">
      <w:pPr>
        <w:pStyle w:val="Titolo2"/>
        <w:spacing w:before="0" w:after="120"/>
        <w:rPr>
          <w:rFonts w:ascii="Times New Roman" w:hAnsi="Times New Roman" w:cs="Times New Roman"/>
          <w:lang w:val="fr-FR"/>
        </w:rPr>
      </w:pPr>
      <w:r w:rsidRPr="005D5648">
        <w:rPr>
          <w:rStyle w:val="text"/>
          <w:rFonts w:ascii="Times New Roman" w:hAnsi="Times New Roman" w:cs="Times New Roman"/>
          <w:lang w:val="fr-FR"/>
        </w:rPr>
        <w:t>Droits d’auteur</w:t>
      </w:r>
    </w:p>
    <w:p w:rsidR="00AD7148" w:rsidRPr="005D5648" w:rsidRDefault="00AD7148" w:rsidP="005D5648">
      <w:pPr>
        <w:pStyle w:val="NormaleWeb"/>
        <w:spacing w:before="0" w:beforeAutospacing="0" w:after="120" w:afterAutospacing="0"/>
        <w:rPr>
          <w:lang w:val="fr-FR"/>
        </w:rPr>
      </w:pPr>
      <w:r w:rsidRPr="005D5648">
        <w:rPr>
          <w:lang w:val="fr-FR"/>
        </w:rPr>
        <w:t>Tous droits réservés</w:t>
      </w:r>
    </w:p>
    <w:sectPr w:rsidR="00AD7148" w:rsidRPr="005D564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C2FE5"/>
    <w:multiLevelType w:val="multilevel"/>
    <w:tmpl w:val="2F1A5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440DF5"/>
    <w:multiLevelType w:val="multilevel"/>
    <w:tmpl w:val="43DCD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D47C4A"/>
    <w:multiLevelType w:val="multilevel"/>
    <w:tmpl w:val="FF12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A029C1"/>
    <w:multiLevelType w:val="multilevel"/>
    <w:tmpl w:val="3B98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148"/>
    <w:rsid w:val="00044933"/>
    <w:rsid w:val="00046F99"/>
    <w:rsid w:val="00051269"/>
    <w:rsid w:val="000608AD"/>
    <w:rsid w:val="000835F3"/>
    <w:rsid w:val="00094987"/>
    <w:rsid w:val="000D5526"/>
    <w:rsid w:val="000F1A1F"/>
    <w:rsid w:val="000F5AD5"/>
    <w:rsid w:val="00112AD6"/>
    <w:rsid w:val="001268E0"/>
    <w:rsid w:val="00135C93"/>
    <w:rsid w:val="001712ED"/>
    <w:rsid w:val="0017145A"/>
    <w:rsid w:val="00193C8E"/>
    <w:rsid w:val="001B249E"/>
    <w:rsid w:val="001C1377"/>
    <w:rsid w:val="001C37E9"/>
    <w:rsid w:val="00211379"/>
    <w:rsid w:val="002544F4"/>
    <w:rsid w:val="0026668F"/>
    <w:rsid w:val="00293CCB"/>
    <w:rsid w:val="002E1938"/>
    <w:rsid w:val="002E5FDE"/>
    <w:rsid w:val="002F64DA"/>
    <w:rsid w:val="003323A8"/>
    <w:rsid w:val="00362486"/>
    <w:rsid w:val="00362734"/>
    <w:rsid w:val="00364CE1"/>
    <w:rsid w:val="003660AA"/>
    <w:rsid w:val="003731F4"/>
    <w:rsid w:val="00376943"/>
    <w:rsid w:val="003B0953"/>
    <w:rsid w:val="003B15B4"/>
    <w:rsid w:val="003C7C8D"/>
    <w:rsid w:val="003D095C"/>
    <w:rsid w:val="003E0305"/>
    <w:rsid w:val="003E1E92"/>
    <w:rsid w:val="003E40C2"/>
    <w:rsid w:val="00402F4A"/>
    <w:rsid w:val="0040555A"/>
    <w:rsid w:val="00474CF7"/>
    <w:rsid w:val="00495449"/>
    <w:rsid w:val="0049696F"/>
    <w:rsid w:val="00497A7A"/>
    <w:rsid w:val="004E6E89"/>
    <w:rsid w:val="00511842"/>
    <w:rsid w:val="0058586A"/>
    <w:rsid w:val="00597252"/>
    <w:rsid w:val="005D5648"/>
    <w:rsid w:val="00635997"/>
    <w:rsid w:val="006A78BD"/>
    <w:rsid w:val="0070047C"/>
    <w:rsid w:val="00706417"/>
    <w:rsid w:val="0071767E"/>
    <w:rsid w:val="007204B5"/>
    <w:rsid w:val="00730D3E"/>
    <w:rsid w:val="00731BF5"/>
    <w:rsid w:val="00767E1B"/>
    <w:rsid w:val="00776F69"/>
    <w:rsid w:val="00792527"/>
    <w:rsid w:val="00796E14"/>
    <w:rsid w:val="007F5FCD"/>
    <w:rsid w:val="008213E0"/>
    <w:rsid w:val="008365FE"/>
    <w:rsid w:val="008431BB"/>
    <w:rsid w:val="00844D76"/>
    <w:rsid w:val="00863288"/>
    <w:rsid w:val="008A1433"/>
    <w:rsid w:val="008B1F84"/>
    <w:rsid w:val="008C1DA5"/>
    <w:rsid w:val="00931EE7"/>
    <w:rsid w:val="009470EE"/>
    <w:rsid w:val="00947B67"/>
    <w:rsid w:val="00974EFA"/>
    <w:rsid w:val="009A71C1"/>
    <w:rsid w:val="009B5F26"/>
    <w:rsid w:val="009B7E18"/>
    <w:rsid w:val="009E216C"/>
    <w:rsid w:val="009E4D62"/>
    <w:rsid w:val="009F1B00"/>
    <w:rsid w:val="00A0384B"/>
    <w:rsid w:val="00A04928"/>
    <w:rsid w:val="00A06D24"/>
    <w:rsid w:val="00A11D53"/>
    <w:rsid w:val="00A244B2"/>
    <w:rsid w:val="00A759A8"/>
    <w:rsid w:val="00A91AB1"/>
    <w:rsid w:val="00AB14CB"/>
    <w:rsid w:val="00AD7148"/>
    <w:rsid w:val="00AF5525"/>
    <w:rsid w:val="00B22C1F"/>
    <w:rsid w:val="00B25597"/>
    <w:rsid w:val="00B75422"/>
    <w:rsid w:val="00B91F5C"/>
    <w:rsid w:val="00B96FB5"/>
    <w:rsid w:val="00BA17D6"/>
    <w:rsid w:val="00BD7B27"/>
    <w:rsid w:val="00BF7B4A"/>
    <w:rsid w:val="00C15DD7"/>
    <w:rsid w:val="00C23630"/>
    <w:rsid w:val="00C40CE8"/>
    <w:rsid w:val="00C57FC0"/>
    <w:rsid w:val="00C6283E"/>
    <w:rsid w:val="00C63730"/>
    <w:rsid w:val="00CB0D6E"/>
    <w:rsid w:val="00CF1642"/>
    <w:rsid w:val="00D504EB"/>
    <w:rsid w:val="00D554D8"/>
    <w:rsid w:val="00D57F0A"/>
    <w:rsid w:val="00D749CE"/>
    <w:rsid w:val="00D82BC1"/>
    <w:rsid w:val="00DB03BE"/>
    <w:rsid w:val="00DB51A1"/>
    <w:rsid w:val="00DC3947"/>
    <w:rsid w:val="00DE0585"/>
    <w:rsid w:val="00DF6148"/>
    <w:rsid w:val="00E51995"/>
    <w:rsid w:val="00E73A6C"/>
    <w:rsid w:val="00E743D6"/>
    <w:rsid w:val="00E813E3"/>
    <w:rsid w:val="00EE0558"/>
    <w:rsid w:val="00F03043"/>
    <w:rsid w:val="00F30423"/>
    <w:rsid w:val="00F4091F"/>
    <w:rsid w:val="00FB00A8"/>
    <w:rsid w:val="00FB5FF1"/>
    <w:rsid w:val="00FF2E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AD71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AD71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AD7148"/>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AD714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D7148"/>
    <w:rPr>
      <w:rFonts w:ascii="Times New Roman" w:eastAsia="Times New Roman" w:hAnsi="Times New Roman" w:cs="Times New Roman"/>
      <w:b/>
      <w:bCs/>
      <w:kern w:val="36"/>
      <w:sz w:val="48"/>
      <w:szCs w:val="48"/>
      <w:lang w:eastAsia="it-IT"/>
    </w:rPr>
  </w:style>
  <w:style w:type="character" w:customStyle="1" w:styleId="text">
    <w:name w:val="text"/>
    <w:basedOn w:val="Carpredefinitoparagrafo"/>
    <w:rsid w:val="00AD7148"/>
  </w:style>
  <w:style w:type="character" w:styleId="Enfasigrassetto">
    <w:name w:val="Strong"/>
    <w:basedOn w:val="Carpredefinitoparagrafo"/>
    <w:uiPriority w:val="22"/>
    <w:qFormat/>
    <w:rsid w:val="00AD7148"/>
    <w:rPr>
      <w:b/>
      <w:bCs/>
    </w:rPr>
  </w:style>
  <w:style w:type="character" w:customStyle="1" w:styleId="familyname">
    <w:name w:val="familyname"/>
    <w:basedOn w:val="Carpredefinitoparagrafo"/>
    <w:rsid w:val="00AD7148"/>
  </w:style>
  <w:style w:type="character" w:customStyle="1" w:styleId="Titolo2Carattere">
    <w:name w:val="Titolo 2 Carattere"/>
    <w:basedOn w:val="Carpredefinitoparagrafo"/>
    <w:link w:val="Titolo2"/>
    <w:uiPriority w:val="9"/>
    <w:semiHidden/>
    <w:rsid w:val="00AD7148"/>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AD7148"/>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AD7148"/>
    <w:rPr>
      <w:rFonts w:asciiTheme="majorHAnsi" w:eastAsiaTheme="majorEastAsia" w:hAnsiTheme="majorHAnsi" w:cstheme="majorBidi"/>
      <w:b/>
      <w:bCs/>
      <w:i/>
      <w:iCs/>
      <w:color w:val="4F81BD" w:themeColor="accent1"/>
    </w:rPr>
  </w:style>
  <w:style w:type="paragraph" w:customStyle="1" w:styleId="texte">
    <w:name w:val="texte"/>
    <w:basedOn w:val="Normale"/>
    <w:rsid w:val="00AD714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AD7148"/>
    <w:rPr>
      <w:color w:val="0000FF"/>
      <w:u w:val="single"/>
    </w:rPr>
  </w:style>
  <w:style w:type="character" w:customStyle="1" w:styleId="num">
    <w:name w:val="num"/>
    <w:basedOn w:val="Carpredefinitoparagrafo"/>
    <w:rsid w:val="00AD7148"/>
  </w:style>
  <w:style w:type="character" w:customStyle="1" w:styleId="paranumber">
    <w:name w:val="paranumber"/>
    <w:basedOn w:val="Carpredefinitoparagrafo"/>
    <w:rsid w:val="00AD7148"/>
  </w:style>
  <w:style w:type="character" w:styleId="Enfasicorsivo">
    <w:name w:val="Emphasis"/>
    <w:basedOn w:val="Carpredefinitoparagrafo"/>
    <w:uiPriority w:val="20"/>
    <w:qFormat/>
    <w:rsid w:val="00AD7148"/>
    <w:rPr>
      <w:i/>
      <w:iCs/>
    </w:rPr>
  </w:style>
  <w:style w:type="paragraph" w:customStyle="1" w:styleId="bibliographie">
    <w:name w:val="bibliographie"/>
    <w:basedOn w:val="Normale"/>
    <w:rsid w:val="00AD714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otebaspage">
    <w:name w:val="notebaspage"/>
    <w:basedOn w:val="Normale"/>
    <w:rsid w:val="00AD714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unhideWhenUsed/>
    <w:rsid w:val="00AD714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scriptionauteur">
    <w:name w:val="descriptionauteur"/>
    <w:basedOn w:val="Normale"/>
    <w:rsid w:val="00AD714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fulltext">
    <w:name w:val="fulltext"/>
    <w:basedOn w:val="Carpredefinitoparagrafo"/>
    <w:rsid w:val="00AD71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AD71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AD71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AD7148"/>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AD714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D7148"/>
    <w:rPr>
      <w:rFonts w:ascii="Times New Roman" w:eastAsia="Times New Roman" w:hAnsi="Times New Roman" w:cs="Times New Roman"/>
      <w:b/>
      <w:bCs/>
      <w:kern w:val="36"/>
      <w:sz w:val="48"/>
      <w:szCs w:val="48"/>
      <w:lang w:eastAsia="it-IT"/>
    </w:rPr>
  </w:style>
  <w:style w:type="character" w:customStyle="1" w:styleId="text">
    <w:name w:val="text"/>
    <w:basedOn w:val="Carpredefinitoparagrafo"/>
    <w:rsid w:val="00AD7148"/>
  </w:style>
  <w:style w:type="character" w:styleId="Enfasigrassetto">
    <w:name w:val="Strong"/>
    <w:basedOn w:val="Carpredefinitoparagrafo"/>
    <w:uiPriority w:val="22"/>
    <w:qFormat/>
    <w:rsid w:val="00AD7148"/>
    <w:rPr>
      <w:b/>
      <w:bCs/>
    </w:rPr>
  </w:style>
  <w:style w:type="character" w:customStyle="1" w:styleId="familyname">
    <w:name w:val="familyname"/>
    <w:basedOn w:val="Carpredefinitoparagrafo"/>
    <w:rsid w:val="00AD7148"/>
  </w:style>
  <w:style w:type="character" w:customStyle="1" w:styleId="Titolo2Carattere">
    <w:name w:val="Titolo 2 Carattere"/>
    <w:basedOn w:val="Carpredefinitoparagrafo"/>
    <w:link w:val="Titolo2"/>
    <w:uiPriority w:val="9"/>
    <w:semiHidden/>
    <w:rsid w:val="00AD7148"/>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AD7148"/>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AD7148"/>
    <w:rPr>
      <w:rFonts w:asciiTheme="majorHAnsi" w:eastAsiaTheme="majorEastAsia" w:hAnsiTheme="majorHAnsi" w:cstheme="majorBidi"/>
      <w:b/>
      <w:bCs/>
      <w:i/>
      <w:iCs/>
      <w:color w:val="4F81BD" w:themeColor="accent1"/>
    </w:rPr>
  </w:style>
  <w:style w:type="paragraph" w:customStyle="1" w:styleId="texte">
    <w:name w:val="texte"/>
    <w:basedOn w:val="Normale"/>
    <w:rsid w:val="00AD714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AD7148"/>
    <w:rPr>
      <w:color w:val="0000FF"/>
      <w:u w:val="single"/>
    </w:rPr>
  </w:style>
  <w:style w:type="character" w:customStyle="1" w:styleId="num">
    <w:name w:val="num"/>
    <w:basedOn w:val="Carpredefinitoparagrafo"/>
    <w:rsid w:val="00AD7148"/>
  </w:style>
  <w:style w:type="character" w:customStyle="1" w:styleId="paranumber">
    <w:name w:val="paranumber"/>
    <w:basedOn w:val="Carpredefinitoparagrafo"/>
    <w:rsid w:val="00AD7148"/>
  </w:style>
  <w:style w:type="character" w:styleId="Enfasicorsivo">
    <w:name w:val="Emphasis"/>
    <w:basedOn w:val="Carpredefinitoparagrafo"/>
    <w:uiPriority w:val="20"/>
    <w:qFormat/>
    <w:rsid w:val="00AD7148"/>
    <w:rPr>
      <w:i/>
      <w:iCs/>
    </w:rPr>
  </w:style>
  <w:style w:type="paragraph" w:customStyle="1" w:styleId="bibliographie">
    <w:name w:val="bibliographie"/>
    <w:basedOn w:val="Normale"/>
    <w:rsid w:val="00AD714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otebaspage">
    <w:name w:val="notebaspage"/>
    <w:basedOn w:val="Normale"/>
    <w:rsid w:val="00AD714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unhideWhenUsed/>
    <w:rsid w:val="00AD714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scriptionauteur">
    <w:name w:val="descriptionauteur"/>
    <w:basedOn w:val="Normale"/>
    <w:rsid w:val="00AD714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fulltext">
    <w:name w:val="fulltext"/>
    <w:basedOn w:val="Carpredefinitoparagrafo"/>
    <w:rsid w:val="00AD7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59452">
      <w:bodyDiv w:val="1"/>
      <w:marLeft w:val="0"/>
      <w:marRight w:val="0"/>
      <w:marTop w:val="0"/>
      <w:marBottom w:val="0"/>
      <w:divBdr>
        <w:top w:val="none" w:sz="0" w:space="0" w:color="auto"/>
        <w:left w:val="none" w:sz="0" w:space="0" w:color="auto"/>
        <w:bottom w:val="none" w:sz="0" w:space="0" w:color="auto"/>
        <w:right w:val="none" w:sz="0" w:space="0" w:color="auto"/>
      </w:divBdr>
      <w:divsChild>
        <w:div w:id="1523320299">
          <w:marLeft w:val="0"/>
          <w:marRight w:val="0"/>
          <w:marTop w:val="0"/>
          <w:marBottom w:val="0"/>
          <w:divBdr>
            <w:top w:val="none" w:sz="0" w:space="0" w:color="auto"/>
            <w:left w:val="none" w:sz="0" w:space="0" w:color="auto"/>
            <w:bottom w:val="none" w:sz="0" w:space="0" w:color="auto"/>
            <w:right w:val="none" w:sz="0" w:space="0" w:color="auto"/>
          </w:divBdr>
          <w:divsChild>
            <w:div w:id="964582549">
              <w:marLeft w:val="0"/>
              <w:marRight w:val="0"/>
              <w:marTop w:val="0"/>
              <w:marBottom w:val="0"/>
              <w:divBdr>
                <w:top w:val="none" w:sz="0" w:space="0" w:color="auto"/>
                <w:left w:val="none" w:sz="0" w:space="0" w:color="auto"/>
                <w:bottom w:val="none" w:sz="0" w:space="0" w:color="auto"/>
                <w:right w:val="none" w:sz="0" w:space="0" w:color="auto"/>
              </w:divBdr>
              <w:divsChild>
                <w:div w:id="115881410">
                  <w:marLeft w:val="0"/>
                  <w:marRight w:val="0"/>
                  <w:marTop w:val="0"/>
                  <w:marBottom w:val="0"/>
                  <w:divBdr>
                    <w:top w:val="none" w:sz="0" w:space="0" w:color="auto"/>
                    <w:left w:val="none" w:sz="0" w:space="0" w:color="auto"/>
                    <w:bottom w:val="none" w:sz="0" w:space="0" w:color="auto"/>
                    <w:right w:val="none" w:sz="0" w:space="0" w:color="auto"/>
                  </w:divBdr>
                </w:div>
                <w:div w:id="387847434">
                  <w:marLeft w:val="0"/>
                  <w:marRight w:val="0"/>
                  <w:marTop w:val="0"/>
                  <w:marBottom w:val="0"/>
                  <w:divBdr>
                    <w:top w:val="none" w:sz="0" w:space="0" w:color="auto"/>
                    <w:left w:val="none" w:sz="0" w:space="0" w:color="auto"/>
                    <w:bottom w:val="none" w:sz="0" w:space="0" w:color="auto"/>
                    <w:right w:val="none" w:sz="0" w:space="0" w:color="auto"/>
                  </w:divBdr>
                </w:div>
                <w:div w:id="84267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7552">
          <w:marLeft w:val="0"/>
          <w:marRight w:val="0"/>
          <w:marTop w:val="0"/>
          <w:marBottom w:val="0"/>
          <w:divBdr>
            <w:top w:val="none" w:sz="0" w:space="0" w:color="auto"/>
            <w:left w:val="none" w:sz="0" w:space="0" w:color="auto"/>
            <w:bottom w:val="none" w:sz="0" w:space="0" w:color="auto"/>
            <w:right w:val="none" w:sz="0" w:space="0" w:color="auto"/>
          </w:divBdr>
          <w:divsChild>
            <w:div w:id="1274821119">
              <w:marLeft w:val="0"/>
              <w:marRight w:val="0"/>
              <w:marTop w:val="0"/>
              <w:marBottom w:val="0"/>
              <w:divBdr>
                <w:top w:val="none" w:sz="0" w:space="0" w:color="auto"/>
                <w:left w:val="none" w:sz="0" w:space="0" w:color="auto"/>
                <w:bottom w:val="none" w:sz="0" w:space="0" w:color="auto"/>
                <w:right w:val="none" w:sz="0" w:space="0" w:color="auto"/>
              </w:divBdr>
              <w:divsChild>
                <w:div w:id="523715254">
                  <w:marLeft w:val="0"/>
                  <w:marRight w:val="0"/>
                  <w:marTop w:val="0"/>
                  <w:marBottom w:val="0"/>
                  <w:divBdr>
                    <w:top w:val="none" w:sz="0" w:space="0" w:color="auto"/>
                    <w:left w:val="none" w:sz="0" w:space="0" w:color="auto"/>
                    <w:bottom w:val="none" w:sz="0" w:space="0" w:color="auto"/>
                    <w:right w:val="none" w:sz="0" w:space="0" w:color="auto"/>
                  </w:divBdr>
                  <w:divsChild>
                    <w:div w:id="1223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130475">
          <w:marLeft w:val="0"/>
          <w:marRight w:val="0"/>
          <w:marTop w:val="0"/>
          <w:marBottom w:val="0"/>
          <w:divBdr>
            <w:top w:val="none" w:sz="0" w:space="0" w:color="auto"/>
            <w:left w:val="none" w:sz="0" w:space="0" w:color="auto"/>
            <w:bottom w:val="none" w:sz="0" w:space="0" w:color="auto"/>
            <w:right w:val="none" w:sz="0" w:space="0" w:color="auto"/>
          </w:divBdr>
        </w:div>
        <w:div w:id="1846506429">
          <w:marLeft w:val="0"/>
          <w:marRight w:val="0"/>
          <w:marTop w:val="0"/>
          <w:marBottom w:val="0"/>
          <w:divBdr>
            <w:top w:val="none" w:sz="0" w:space="0" w:color="auto"/>
            <w:left w:val="none" w:sz="0" w:space="0" w:color="auto"/>
            <w:bottom w:val="none" w:sz="0" w:space="0" w:color="auto"/>
            <w:right w:val="none" w:sz="0" w:space="0" w:color="auto"/>
          </w:divBdr>
        </w:div>
        <w:div w:id="571159060">
          <w:marLeft w:val="0"/>
          <w:marRight w:val="0"/>
          <w:marTop w:val="0"/>
          <w:marBottom w:val="0"/>
          <w:divBdr>
            <w:top w:val="none" w:sz="0" w:space="0" w:color="auto"/>
            <w:left w:val="none" w:sz="0" w:space="0" w:color="auto"/>
            <w:bottom w:val="none" w:sz="0" w:space="0" w:color="auto"/>
            <w:right w:val="none" w:sz="0" w:space="0" w:color="auto"/>
          </w:divBdr>
          <w:divsChild>
            <w:div w:id="138688897">
              <w:marLeft w:val="0"/>
              <w:marRight w:val="0"/>
              <w:marTop w:val="0"/>
              <w:marBottom w:val="0"/>
              <w:divBdr>
                <w:top w:val="none" w:sz="0" w:space="0" w:color="auto"/>
                <w:left w:val="none" w:sz="0" w:space="0" w:color="auto"/>
                <w:bottom w:val="none" w:sz="0" w:space="0" w:color="auto"/>
                <w:right w:val="none" w:sz="0" w:space="0" w:color="auto"/>
              </w:divBdr>
            </w:div>
            <w:div w:id="572356293">
              <w:marLeft w:val="0"/>
              <w:marRight w:val="0"/>
              <w:marTop w:val="0"/>
              <w:marBottom w:val="0"/>
              <w:divBdr>
                <w:top w:val="none" w:sz="0" w:space="0" w:color="auto"/>
                <w:left w:val="none" w:sz="0" w:space="0" w:color="auto"/>
                <w:bottom w:val="none" w:sz="0" w:space="0" w:color="auto"/>
                <w:right w:val="none" w:sz="0" w:space="0" w:color="auto"/>
              </w:divBdr>
            </w:div>
          </w:divsChild>
        </w:div>
        <w:div w:id="1081872239">
          <w:marLeft w:val="0"/>
          <w:marRight w:val="0"/>
          <w:marTop w:val="0"/>
          <w:marBottom w:val="0"/>
          <w:divBdr>
            <w:top w:val="none" w:sz="0" w:space="0" w:color="auto"/>
            <w:left w:val="none" w:sz="0" w:space="0" w:color="auto"/>
            <w:bottom w:val="none" w:sz="0" w:space="0" w:color="auto"/>
            <w:right w:val="none" w:sz="0" w:space="0" w:color="auto"/>
          </w:divBdr>
        </w:div>
      </w:divsChild>
    </w:div>
    <w:div w:id="1011950303">
      <w:bodyDiv w:val="1"/>
      <w:marLeft w:val="0"/>
      <w:marRight w:val="0"/>
      <w:marTop w:val="0"/>
      <w:marBottom w:val="0"/>
      <w:divBdr>
        <w:top w:val="none" w:sz="0" w:space="0" w:color="auto"/>
        <w:left w:val="none" w:sz="0" w:space="0" w:color="auto"/>
        <w:bottom w:val="none" w:sz="0" w:space="0" w:color="auto"/>
        <w:right w:val="none" w:sz="0" w:space="0" w:color="auto"/>
      </w:divBdr>
    </w:div>
    <w:div w:id="1484086094">
      <w:bodyDiv w:val="1"/>
      <w:marLeft w:val="0"/>
      <w:marRight w:val="0"/>
      <w:marTop w:val="0"/>
      <w:marBottom w:val="0"/>
      <w:divBdr>
        <w:top w:val="none" w:sz="0" w:space="0" w:color="auto"/>
        <w:left w:val="none" w:sz="0" w:space="0" w:color="auto"/>
        <w:bottom w:val="none" w:sz="0" w:space="0" w:color="auto"/>
        <w:right w:val="none" w:sz="0" w:space="0" w:color="auto"/>
      </w:divBdr>
      <w:divsChild>
        <w:div w:id="1511873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hiquepublique.revues.org/1727" TargetMode="External"/><Relationship Id="rId13" Type="http://schemas.openxmlformats.org/officeDocument/2006/relationships/hyperlink" Target="http://dx.doi.org/10.4000/ethiquepublique.1231" TargetMode="External"/><Relationship Id="rId18" Type="http://schemas.openxmlformats.org/officeDocument/2006/relationships/hyperlink" Target="http://ethiquepublique.revues.org/1231"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ethiquepublique.revues.org/1727" TargetMode="External"/><Relationship Id="rId12" Type="http://schemas.openxmlformats.org/officeDocument/2006/relationships/hyperlink" Target="http://dx.doi.org/10.1257/jep.25.3.83" TargetMode="External"/><Relationship Id="rId17" Type="http://schemas.openxmlformats.org/officeDocument/2006/relationships/hyperlink" Target="http://ethiquepublique.revues.org/1237" TargetMode="External"/><Relationship Id="rId2" Type="http://schemas.openxmlformats.org/officeDocument/2006/relationships/styles" Target="styles.xml"/><Relationship Id="rId16" Type="http://schemas.openxmlformats.org/officeDocument/2006/relationships/hyperlink" Target="http://ethiquepublique.revues.org/1728"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ethiquepublique.revues.org/1727" TargetMode="External"/><Relationship Id="rId11" Type="http://schemas.openxmlformats.org/officeDocument/2006/relationships/hyperlink" Target="http://www.lacartadilampedusa.org/pdf_carta/charte%20franccais.pdf" TargetMode="External"/><Relationship Id="rId5" Type="http://schemas.openxmlformats.org/officeDocument/2006/relationships/webSettings" Target="webSettings.xml"/><Relationship Id="rId15" Type="http://schemas.openxmlformats.org/officeDocument/2006/relationships/hyperlink" Target="http://www.un.org/fr/documents/udhr/" TargetMode="External"/><Relationship Id="rId10" Type="http://schemas.openxmlformats.org/officeDocument/2006/relationships/hyperlink" Target="http://ethiquepublique.revues.org/1727" TargetMode="External"/><Relationship Id="rId19" Type="http://schemas.openxmlformats.org/officeDocument/2006/relationships/hyperlink" Target="http://ethiquepublique.revues.org/1208" TargetMode="External"/><Relationship Id="rId4" Type="http://schemas.openxmlformats.org/officeDocument/2006/relationships/settings" Target="settings.xml"/><Relationship Id="rId9" Type="http://schemas.openxmlformats.org/officeDocument/2006/relationships/hyperlink" Target="http://ethiquepublique.revues.org/1727" TargetMode="External"/><Relationship Id="rId14" Type="http://schemas.openxmlformats.org/officeDocument/2006/relationships/hyperlink" Target="http://dx.doi.org/10.1016/j.red.2012.08.003"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3478</Words>
  <Characters>19829</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Matteo</dc:creator>
  <cp:lastModifiedBy>Matteo</cp:lastModifiedBy>
  <cp:revision>2</cp:revision>
  <dcterms:created xsi:type="dcterms:W3CDTF">2018-10-18T11:00:00Z</dcterms:created>
  <dcterms:modified xsi:type="dcterms:W3CDTF">2018-10-18T11:00:00Z</dcterms:modified>
</cp:coreProperties>
</file>