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9026C" w14:textId="77777777" w:rsidR="00001610" w:rsidRPr="00D17995" w:rsidRDefault="00001610" w:rsidP="00001610">
      <w:pPr>
        <w:spacing w:after="120" w:line="240" w:lineRule="auto"/>
        <w:rPr>
          <w:rFonts w:ascii="Tahoma" w:hAnsi="Tahoma" w:cs="Tahoma"/>
          <w:b/>
          <w:color w:val="auto"/>
          <w:sz w:val="20"/>
          <w:szCs w:val="20"/>
          <w:lang w:val="en-US"/>
        </w:rPr>
      </w:pPr>
      <w:r w:rsidRPr="00D17995">
        <w:rPr>
          <w:rFonts w:ascii="Tahoma" w:hAnsi="Tahoma" w:cs="Tahoma"/>
          <w:b/>
          <w:color w:val="auto"/>
          <w:sz w:val="20"/>
          <w:szCs w:val="20"/>
          <w:lang w:val="en-US"/>
        </w:rPr>
        <w:t>FONDAZIONE LEONE MORESSA</w:t>
      </w:r>
    </w:p>
    <w:p w14:paraId="5FAED4C1" w14:textId="6E47EE44" w:rsidR="00D81A49" w:rsidRPr="00D17995" w:rsidRDefault="00D81A49" w:rsidP="00001610">
      <w:pPr>
        <w:spacing w:after="120" w:line="240" w:lineRule="auto"/>
        <w:rPr>
          <w:rFonts w:ascii="Tahoma" w:hAnsi="Tahoma" w:cs="Tahoma"/>
          <w:b/>
          <w:color w:val="auto"/>
          <w:sz w:val="20"/>
          <w:szCs w:val="20"/>
          <w:lang w:val="en-US"/>
        </w:rPr>
      </w:pPr>
      <w:r w:rsidRPr="00D17995">
        <w:rPr>
          <w:rFonts w:ascii="Tahoma" w:hAnsi="Tahoma" w:cs="Tahoma"/>
          <w:b/>
          <w:color w:val="auto"/>
          <w:sz w:val="20"/>
          <w:szCs w:val="20"/>
          <w:lang w:val="en-US"/>
        </w:rPr>
        <w:t>X</w:t>
      </w:r>
      <w:r w:rsidR="0080793B" w:rsidRPr="00D17995">
        <w:rPr>
          <w:rFonts w:ascii="Tahoma" w:hAnsi="Tahoma" w:cs="Tahoma"/>
          <w:b/>
          <w:color w:val="auto"/>
          <w:sz w:val="20"/>
          <w:szCs w:val="20"/>
          <w:lang w:val="en-US"/>
        </w:rPr>
        <w:t>I</w:t>
      </w:r>
      <w:r w:rsidRPr="00D17995">
        <w:rPr>
          <w:rFonts w:ascii="Tahoma" w:hAnsi="Tahoma" w:cs="Tahoma"/>
          <w:b/>
          <w:color w:val="auto"/>
          <w:sz w:val="20"/>
          <w:szCs w:val="20"/>
          <w:lang w:val="en-US"/>
        </w:rPr>
        <w:t xml:space="preserve">I </w:t>
      </w:r>
      <w:r w:rsidR="00E114DD" w:rsidRPr="00D17995">
        <w:rPr>
          <w:rFonts w:ascii="Tahoma" w:hAnsi="Tahoma" w:cs="Tahoma"/>
          <w:b/>
          <w:color w:val="auto"/>
          <w:sz w:val="20"/>
          <w:szCs w:val="20"/>
          <w:lang w:val="en-US"/>
        </w:rPr>
        <w:t>ANNUAL REPORT ON THE ECONOMICS OF IMMIGRATION</w:t>
      </w:r>
    </w:p>
    <w:p w14:paraId="5124E30D" w14:textId="0933E6C1" w:rsidR="00D81A49" w:rsidRPr="00D17995" w:rsidRDefault="00BC2A27" w:rsidP="00001610">
      <w:pPr>
        <w:spacing w:after="120" w:line="240" w:lineRule="auto"/>
        <w:rPr>
          <w:rFonts w:ascii="Tahoma" w:hAnsi="Tahoma" w:cs="Tahoma"/>
          <w:b/>
          <w:color w:val="auto"/>
          <w:sz w:val="20"/>
          <w:szCs w:val="20"/>
          <w:lang w:val="en-US"/>
        </w:rPr>
      </w:pPr>
      <w:r w:rsidRPr="00D17995">
        <w:rPr>
          <w:rFonts w:ascii="Tahoma" w:hAnsi="Tahoma" w:cs="Tahoma"/>
          <w:b/>
          <w:color w:val="auto"/>
          <w:sz w:val="20"/>
          <w:szCs w:val="20"/>
          <w:lang w:val="en-US"/>
        </w:rPr>
        <w:t>“</w:t>
      </w:r>
      <w:r w:rsidR="009D448C" w:rsidRPr="00D17995">
        <w:rPr>
          <w:rFonts w:ascii="Tahoma" w:hAnsi="Tahoma" w:cs="Tahoma"/>
          <w:b/>
          <w:color w:val="auto"/>
          <w:sz w:val="20"/>
          <w:szCs w:val="20"/>
          <w:lang w:val="en-US"/>
        </w:rPr>
        <w:t>ITALY OF THE RESELIENCE</w:t>
      </w:r>
      <w:r w:rsidR="00E114DD" w:rsidRPr="00D17995">
        <w:rPr>
          <w:rFonts w:ascii="Tahoma" w:hAnsi="Tahoma" w:cs="Tahoma"/>
          <w:b/>
          <w:color w:val="auto"/>
          <w:sz w:val="20"/>
          <w:szCs w:val="20"/>
          <w:lang w:val="en-US"/>
        </w:rPr>
        <w:t xml:space="preserve"> AND THE NEW ITALIANS</w:t>
      </w:r>
      <w:r w:rsidR="00D81A49" w:rsidRPr="00D17995">
        <w:rPr>
          <w:rFonts w:ascii="Tahoma" w:hAnsi="Tahoma" w:cs="Tahoma"/>
          <w:b/>
          <w:color w:val="auto"/>
          <w:sz w:val="20"/>
          <w:szCs w:val="20"/>
          <w:lang w:val="en-US"/>
        </w:rPr>
        <w:t>”</w:t>
      </w:r>
    </w:p>
    <w:p w14:paraId="0F275BFE" w14:textId="77777777" w:rsidR="00FF503C" w:rsidRPr="00D17995" w:rsidRDefault="00FF503C" w:rsidP="00001610">
      <w:pPr>
        <w:spacing w:after="120" w:line="240" w:lineRule="auto"/>
        <w:rPr>
          <w:rFonts w:ascii="Tahoma" w:hAnsi="Tahoma" w:cs="Tahoma"/>
          <w:color w:val="auto"/>
          <w:sz w:val="20"/>
          <w:szCs w:val="20"/>
          <w:lang w:val="en-US"/>
        </w:rPr>
      </w:pPr>
    </w:p>
    <w:p w14:paraId="7400D2D2" w14:textId="65DB899D" w:rsidR="00001610" w:rsidRPr="00D17995" w:rsidRDefault="00E114DD" w:rsidP="00001610">
      <w:pPr>
        <w:spacing w:after="120" w:line="240" w:lineRule="auto"/>
        <w:jc w:val="both"/>
        <w:rPr>
          <w:rFonts w:ascii="Tahoma" w:hAnsi="Tahoma" w:cs="Tahoma"/>
          <w:sz w:val="20"/>
          <w:szCs w:val="20"/>
          <w:lang w:val="en-US"/>
        </w:rPr>
      </w:pPr>
      <w:r w:rsidRPr="00D17995">
        <w:rPr>
          <w:rFonts w:ascii="Tahoma" w:hAnsi="Tahoma" w:cs="Tahoma"/>
          <w:b/>
          <w:sz w:val="20"/>
          <w:szCs w:val="20"/>
          <w:lang w:val="en-US"/>
        </w:rPr>
        <w:t>Introduction</w:t>
      </w:r>
    </w:p>
    <w:p w14:paraId="5EA4C14A" w14:textId="7866E53C" w:rsidR="00001610" w:rsidRPr="00D17995" w:rsidRDefault="00E114DD" w:rsidP="00001610">
      <w:pPr>
        <w:spacing w:after="120" w:line="240" w:lineRule="auto"/>
        <w:jc w:val="both"/>
        <w:rPr>
          <w:rFonts w:ascii="Tahoma" w:hAnsi="Tahoma" w:cs="Tahoma"/>
          <w:sz w:val="20"/>
          <w:szCs w:val="20"/>
          <w:lang w:val="en-US"/>
        </w:rPr>
      </w:pPr>
      <w:r w:rsidRPr="00D17995">
        <w:rPr>
          <w:rFonts w:ascii="Tahoma" w:hAnsi="Tahoma" w:cs="Tahoma"/>
          <w:sz w:val="20"/>
          <w:szCs w:val="20"/>
          <w:lang w:val="en-US"/>
        </w:rPr>
        <w:t xml:space="preserve">The “resilience” expression </w:t>
      </w:r>
      <w:r w:rsidR="00081103" w:rsidRPr="00D17995">
        <w:rPr>
          <w:rFonts w:ascii="Tahoma" w:hAnsi="Tahoma" w:cs="Tahoma"/>
          <w:sz w:val="20"/>
          <w:szCs w:val="20"/>
          <w:lang w:val="en-US"/>
        </w:rPr>
        <w:t>addresses to</w:t>
      </w:r>
      <w:r w:rsidRPr="00D17995">
        <w:rPr>
          <w:rFonts w:ascii="Tahoma" w:hAnsi="Tahoma" w:cs="Tahoma"/>
          <w:sz w:val="20"/>
          <w:szCs w:val="20"/>
          <w:lang w:val="en-US"/>
        </w:rPr>
        <w:t xml:space="preserve"> the capacity to resist a traumatic event by adapting to it and modifying one’s starting situation. It is also the key word of the post-pandemic economic </w:t>
      </w:r>
      <w:r w:rsidR="009D448C" w:rsidRPr="00D17995">
        <w:rPr>
          <w:rFonts w:ascii="Tahoma" w:hAnsi="Tahoma" w:cs="Tahoma"/>
          <w:sz w:val="20"/>
          <w:szCs w:val="20"/>
          <w:lang w:val="en-US"/>
        </w:rPr>
        <w:t>recovery</w:t>
      </w:r>
      <w:r w:rsidRPr="00D17995">
        <w:rPr>
          <w:rFonts w:ascii="Tahoma" w:hAnsi="Tahoma" w:cs="Tahoma"/>
          <w:sz w:val="20"/>
          <w:szCs w:val="20"/>
          <w:lang w:val="en-US"/>
        </w:rPr>
        <w:t xml:space="preserve">, characterized by the European investments of the </w:t>
      </w:r>
      <w:r w:rsidR="00001610" w:rsidRPr="00D17995">
        <w:rPr>
          <w:rFonts w:ascii="Tahoma" w:hAnsi="Tahoma" w:cs="Tahoma"/>
          <w:i/>
          <w:sz w:val="20"/>
          <w:szCs w:val="20"/>
          <w:lang w:val="en-US"/>
        </w:rPr>
        <w:t>Next Generation EU</w:t>
      </w:r>
      <w:r w:rsidR="00001610" w:rsidRPr="00D17995">
        <w:rPr>
          <w:rFonts w:ascii="Tahoma" w:hAnsi="Tahoma" w:cs="Tahoma"/>
          <w:sz w:val="20"/>
          <w:szCs w:val="20"/>
          <w:lang w:val="en-US"/>
        </w:rPr>
        <w:t xml:space="preserve">. </w:t>
      </w:r>
      <w:r w:rsidRPr="00D17995">
        <w:rPr>
          <w:rFonts w:ascii="Tahoma" w:hAnsi="Tahoma" w:cs="Tahoma"/>
          <w:sz w:val="20"/>
          <w:szCs w:val="20"/>
          <w:lang w:val="en-US"/>
        </w:rPr>
        <w:t xml:space="preserve">In spite of the continuous uncertainties brought by the possible </w:t>
      </w:r>
      <w:r w:rsidR="009D448C" w:rsidRPr="00D17995">
        <w:rPr>
          <w:rFonts w:ascii="Tahoma" w:hAnsi="Tahoma" w:cs="Tahoma"/>
          <w:sz w:val="20"/>
          <w:szCs w:val="20"/>
          <w:lang w:val="en-US"/>
        </w:rPr>
        <w:t xml:space="preserve">reverberations of the </w:t>
      </w:r>
      <w:r w:rsidRPr="00D17995">
        <w:rPr>
          <w:rFonts w:ascii="Tahoma" w:hAnsi="Tahoma" w:cs="Tahoma"/>
          <w:sz w:val="20"/>
          <w:szCs w:val="20"/>
          <w:lang w:val="en-US"/>
        </w:rPr>
        <w:t xml:space="preserve">pandemic and the effects caused by the war in Ukraine, the planned investments should lead Italy to </w:t>
      </w:r>
      <w:r w:rsidR="00F71B81" w:rsidRPr="00D17995">
        <w:rPr>
          <w:rFonts w:ascii="Tahoma" w:hAnsi="Tahoma" w:cs="Tahoma"/>
          <w:sz w:val="20"/>
          <w:szCs w:val="20"/>
          <w:lang w:val="en-US"/>
        </w:rPr>
        <w:t xml:space="preserve">a </w:t>
      </w:r>
      <w:r w:rsidRPr="00D17995">
        <w:rPr>
          <w:rFonts w:ascii="Tahoma" w:hAnsi="Tahoma" w:cs="Tahoma"/>
          <w:sz w:val="20"/>
          <w:szCs w:val="20"/>
          <w:lang w:val="en-US"/>
        </w:rPr>
        <w:t>more competitive and sustainable</w:t>
      </w:r>
      <w:r w:rsidR="00F71B81" w:rsidRPr="00D17995">
        <w:rPr>
          <w:rFonts w:ascii="Tahoma" w:hAnsi="Tahoma" w:cs="Tahoma"/>
          <w:sz w:val="20"/>
          <w:szCs w:val="20"/>
          <w:lang w:val="en-US"/>
        </w:rPr>
        <w:t xml:space="preserve"> stance</w:t>
      </w:r>
      <w:r w:rsidRPr="00D17995">
        <w:rPr>
          <w:rFonts w:ascii="Tahoma" w:hAnsi="Tahoma" w:cs="Tahoma"/>
          <w:sz w:val="20"/>
          <w:szCs w:val="20"/>
          <w:lang w:val="en-US"/>
        </w:rPr>
        <w:t xml:space="preserve">. </w:t>
      </w:r>
    </w:p>
    <w:p w14:paraId="71982F96" w14:textId="201C0872" w:rsidR="00001610" w:rsidRPr="00D17995" w:rsidRDefault="00F71B81" w:rsidP="00001610">
      <w:pPr>
        <w:spacing w:after="120" w:line="240" w:lineRule="auto"/>
        <w:jc w:val="both"/>
        <w:rPr>
          <w:rFonts w:ascii="Tahoma" w:hAnsi="Tahoma" w:cs="Tahoma"/>
          <w:sz w:val="20"/>
          <w:szCs w:val="20"/>
          <w:lang w:val="en-US"/>
        </w:rPr>
      </w:pPr>
      <w:r w:rsidRPr="00D17995">
        <w:rPr>
          <w:rFonts w:ascii="Tahoma" w:hAnsi="Tahoma" w:cs="Tahoma"/>
          <w:sz w:val="20"/>
          <w:szCs w:val="20"/>
          <w:lang w:val="en-US"/>
        </w:rPr>
        <w:t>I</w:t>
      </w:r>
      <w:r w:rsidR="00E114DD" w:rsidRPr="00D17995">
        <w:rPr>
          <w:rFonts w:ascii="Tahoma" w:hAnsi="Tahoma" w:cs="Tahoma"/>
          <w:sz w:val="20"/>
          <w:szCs w:val="20"/>
          <w:lang w:val="en-US"/>
        </w:rPr>
        <w:t xml:space="preserve">t is interesting to observe what the social effects </w:t>
      </w:r>
      <w:r w:rsidR="009D448C" w:rsidRPr="00D17995">
        <w:rPr>
          <w:rFonts w:ascii="Tahoma" w:hAnsi="Tahoma" w:cs="Tahoma"/>
          <w:sz w:val="20"/>
          <w:szCs w:val="20"/>
          <w:lang w:val="en-US"/>
        </w:rPr>
        <w:t>in</w:t>
      </w:r>
      <w:r w:rsidR="00E114DD" w:rsidRPr="00D17995">
        <w:rPr>
          <w:rFonts w:ascii="Tahoma" w:hAnsi="Tahoma" w:cs="Tahoma"/>
          <w:sz w:val="20"/>
          <w:szCs w:val="20"/>
          <w:lang w:val="en-US"/>
        </w:rPr>
        <w:t xml:space="preserve"> the medi</w:t>
      </w:r>
      <w:r w:rsidR="009D448C" w:rsidRPr="00D17995">
        <w:rPr>
          <w:rFonts w:ascii="Tahoma" w:hAnsi="Tahoma" w:cs="Tahoma"/>
          <w:sz w:val="20"/>
          <w:szCs w:val="20"/>
          <w:lang w:val="en-US"/>
        </w:rPr>
        <w:t>um term</w:t>
      </w:r>
      <w:r w:rsidR="00E114DD" w:rsidRPr="00D17995">
        <w:rPr>
          <w:rFonts w:ascii="Tahoma" w:hAnsi="Tahoma" w:cs="Tahoma"/>
          <w:sz w:val="20"/>
          <w:szCs w:val="20"/>
          <w:lang w:val="en-US"/>
        </w:rPr>
        <w:t xml:space="preserve"> will be. </w:t>
      </w:r>
      <w:r w:rsidR="009D448C" w:rsidRPr="00D17995">
        <w:rPr>
          <w:rFonts w:ascii="Tahoma" w:hAnsi="Tahoma" w:cs="Tahoma"/>
          <w:sz w:val="20"/>
          <w:szCs w:val="20"/>
          <w:lang w:val="en-US"/>
        </w:rPr>
        <w:t>The sanitary emergency</w:t>
      </w:r>
      <w:r w:rsidR="00796DE4" w:rsidRPr="00D17995">
        <w:rPr>
          <w:rFonts w:ascii="Tahoma" w:hAnsi="Tahoma" w:cs="Tahoma"/>
          <w:sz w:val="20"/>
          <w:szCs w:val="20"/>
          <w:lang w:val="en-US"/>
        </w:rPr>
        <w:t xml:space="preserve"> has undoubtedly spurred inequalities, while underlying some latent fragilities. </w:t>
      </w:r>
      <w:r w:rsidRPr="00D17995">
        <w:rPr>
          <w:rFonts w:ascii="Tahoma" w:hAnsi="Tahoma" w:cs="Tahoma"/>
          <w:sz w:val="20"/>
          <w:szCs w:val="20"/>
          <w:lang w:val="en-US"/>
        </w:rPr>
        <w:t>T</w:t>
      </w:r>
      <w:r w:rsidR="00796DE4" w:rsidRPr="00D17995">
        <w:rPr>
          <w:rFonts w:ascii="Tahoma" w:hAnsi="Tahoma" w:cs="Tahoma"/>
          <w:sz w:val="20"/>
          <w:szCs w:val="20"/>
          <w:lang w:val="en-US"/>
        </w:rPr>
        <w:t>he previous Report had already underscored t</w:t>
      </w:r>
      <w:r w:rsidRPr="00D17995">
        <w:rPr>
          <w:rFonts w:ascii="Tahoma" w:hAnsi="Tahoma" w:cs="Tahoma"/>
          <w:sz w:val="20"/>
          <w:szCs w:val="20"/>
          <w:lang w:val="en-US"/>
        </w:rPr>
        <w:t>he</w:t>
      </w:r>
      <w:r w:rsidR="00796DE4" w:rsidRPr="00D17995">
        <w:rPr>
          <w:rFonts w:ascii="Tahoma" w:hAnsi="Tahoma" w:cs="Tahoma"/>
          <w:sz w:val="20"/>
          <w:szCs w:val="20"/>
          <w:lang w:val="en-US"/>
        </w:rPr>
        <w:t xml:space="preserve"> extent to which immigrants have been the first to </w:t>
      </w:r>
      <w:r w:rsidR="009D448C" w:rsidRPr="00D17995">
        <w:rPr>
          <w:rFonts w:ascii="Tahoma" w:hAnsi="Tahoma" w:cs="Tahoma"/>
          <w:sz w:val="20"/>
          <w:szCs w:val="20"/>
          <w:lang w:val="en-US"/>
        </w:rPr>
        <w:t xml:space="preserve">suffer </w:t>
      </w:r>
      <w:r w:rsidRPr="00D17995">
        <w:rPr>
          <w:rFonts w:ascii="Tahoma" w:hAnsi="Tahoma" w:cs="Tahoma"/>
          <w:sz w:val="20"/>
          <w:szCs w:val="20"/>
          <w:lang w:val="en-US"/>
        </w:rPr>
        <w:t xml:space="preserve">from </w:t>
      </w:r>
      <w:r w:rsidR="009D448C" w:rsidRPr="00D17995">
        <w:rPr>
          <w:rFonts w:ascii="Tahoma" w:hAnsi="Tahoma" w:cs="Tahoma"/>
          <w:sz w:val="20"/>
          <w:szCs w:val="20"/>
          <w:lang w:val="en-US"/>
        </w:rPr>
        <w:t xml:space="preserve">the repercussion </w:t>
      </w:r>
      <w:r w:rsidR="00796DE4" w:rsidRPr="00D17995">
        <w:rPr>
          <w:rFonts w:ascii="Tahoma" w:hAnsi="Tahoma" w:cs="Tahoma"/>
          <w:sz w:val="20"/>
          <w:szCs w:val="20"/>
          <w:lang w:val="en-US"/>
        </w:rPr>
        <w:t>of the pandemic on the occupational level, due to their higher</w:t>
      </w:r>
      <w:r w:rsidRPr="00D17995">
        <w:rPr>
          <w:rFonts w:ascii="Tahoma" w:hAnsi="Tahoma" w:cs="Tahoma"/>
          <w:sz w:val="20"/>
          <w:szCs w:val="20"/>
          <w:lang w:val="en-US"/>
        </w:rPr>
        <w:t xml:space="preserve"> levels of</w:t>
      </w:r>
      <w:r w:rsidR="00796DE4" w:rsidRPr="00D17995">
        <w:rPr>
          <w:rFonts w:ascii="Tahoma" w:hAnsi="Tahoma" w:cs="Tahoma"/>
          <w:sz w:val="20"/>
          <w:szCs w:val="20"/>
          <w:lang w:val="en-US"/>
        </w:rPr>
        <w:t xml:space="preserve"> </w:t>
      </w:r>
      <w:r w:rsidR="009D448C" w:rsidRPr="00D17995">
        <w:rPr>
          <w:rFonts w:ascii="Tahoma" w:hAnsi="Tahoma" w:cs="Tahoma"/>
          <w:sz w:val="20"/>
          <w:szCs w:val="20"/>
          <w:lang w:val="en-US"/>
        </w:rPr>
        <w:t>precariousness</w:t>
      </w:r>
      <w:r w:rsidRPr="00D17995">
        <w:rPr>
          <w:rFonts w:ascii="Tahoma" w:hAnsi="Tahoma" w:cs="Tahoma"/>
          <w:sz w:val="20"/>
          <w:szCs w:val="20"/>
          <w:lang w:val="en-US"/>
        </w:rPr>
        <w:t xml:space="preserve">. Nevertheless, </w:t>
      </w:r>
      <w:r w:rsidR="00796DE4" w:rsidRPr="00D17995">
        <w:rPr>
          <w:rFonts w:ascii="Tahoma" w:hAnsi="Tahoma" w:cs="Tahoma"/>
          <w:sz w:val="20"/>
          <w:szCs w:val="20"/>
          <w:lang w:val="en-US"/>
        </w:rPr>
        <w:t xml:space="preserve">it is now vital to understand what role </w:t>
      </w:r>
      <w:r w:rsidRPr="00D17995">
        <w:rPr>
          <w:rFonts w:ascii="Tahoma" w:hAnsi="Tahoma" w:cs="Tahoma"/>
          <w:sz w:val="20"/>
          <w:szCs w:val="20"/>
          <w:lang w:val="en-US"/>
        </w:rPr>
        <w:t>immigrants</w:t>
      </w:r>
      <w:r w:rsidR="00796DE4" w:rsidRPr="00D17995">
        <w:rPr>
          <w:rFonts w:ascii="Tahoma" w:hAnsi="Tahoma" w:cs="Tahoma"/>
          <w:sz w:val="20"/>
          <w:szCs w:val="20"/>
          <w:lang w:val="en-US"/>
        </w:rPr>
        <w:t xml:space="preserve"> will play in the </w:t>
      </w:r>
      <w:r w:rsidR="009D448C" w:rsidRPr="00D17995">
        <w:rPr>
          <w:rFonts w:ascii="Tahoma" w:hAnsi="Tahoma" w:cs="Tahoma"/>
          <w:sz w:val="20"/>
          <w:szCs w:val="20"/>
          <w:lang w:val="en-US"/>
        </w:rPr>
        <w:t>recovery</w:t>
      </w:r>
      <w:r w:rsidR="00796DE4" w:rsidRPr="00D17995">
        <w:rPr>
          <w:rFonts w:ascii="Tahoma" w:hAnsi="Tahoma" w:cs="Tahoma"/>
          <w:sz w:val="20"/>
          <w:szCs w:val="20"/>
          <w:lang w:val="en-US"/>
        </w:rPr>
        <w:t xml:space="preserve"> and resilience process. </w:t>
      </w:r>
    </w:p>
    <w:p w14:paraId="7666896C" w14:textId="52DFD95E" w:rsidR="00587408" w:rsidRPr="00D17995" w:rsidRDefault="00796DE4" w:rsidP="00001610">
      <w:pPr>
        <w:spacing w:after="120" w:line="240" w:lineRule="auto"/>
        <w:jc w:val="both"/>
        <w:rPr>
          <w:rFonts w:ascii="Tahoma" w:hAnsi="Tahoma" w:cs="Tahoma"/>
          <w:sz w:val="20"/>
          <w:szCs w:val="20"/>
          <w:lang w:val="en-US"/>
        </w:rPr>
      </w:pPr>
      <w:r w:rsidRPr="00D17995">
        <w:rPr>
          <w:rFonts w:ascii="Tahoma" w:hAnsi="Tahoma" w:cs="Tahoma"/>
          <w:sz w:val="20"/>
          <w:szCs w:val="20"/>
          <w:lang w:val="en-US"/>
        </w:rPr>
        <w:t xml:space="preserve">The Annual Report on the Economics of Immigration focuses on the analysis of social and economic dynamics related to the Italian immigration phenomenon. Beside the analysis based on data from official sources </w:t>
      </w:r>
      <w:r w:rsidR="00587408" w:rsidRPr="00D17995">
        <w:rPr>
          <w:rFonts w:ascii="Tahoma" w:hAnsi="Tahoma" w:cs="Tahoma"/>
          <w:sz w:val="20"/>
          <w:szCs w:val="20"/>
          <w:lang w:val="en-US"/>
        </w:rPr>
        <w:t>(</w:t>
      </w:r>
      <w:r w:rsidRPr="00D17995">
        <w:rPr>
          <w:rFonts w:ascii="Tahoma" w:hAnsi="Tahoma" w:cs="Tahoma"/>
          <w:sz w:val="20"/>
          <w:szCs w:val="20"/>
          <w:lang w:val="en-US"/>
        </w:rPr>
        <w:t xml:space="preserve">for </w:t>
      </w:r>
      <w:r w:rsidR="009D448C" w:rsidRPr="00D17995">
        <w:rPr>
          <w:rFonts w:ascii="Tahoma" w:hAnsi="Tahoma" w:cs="Tahoma"/>
          <w:sz w:val="20"/>
          <w:szCs w:val="20"/>
          <w:lang w:val="en-US"/>
        </w:rPr>
        <w:t>instance,</w:t>
      </w:r>
      <w:r w:rsidRPr="00D17995">
        <w:rPr>
          <w:rFonts w:ascii="Tahoma" w:hAnsi="Tahoma" w:cs="Tahoma"/>
          <w:sz w:val="20"/>
          <w:szCs w:val="20"/>
          <w:lang w:val="en-US"/>
        </w:rPr>
        <w:t xml:space="preserve"> among the main source</w:t>
      </w:r>
      <w:r w:rsidR="00816723" w:rsidRPr="00D17995">
        <w:rPr>
          <w:rFonts w:ascii="Tahoma" w:hAnsi="Tahoma" w:cs="Tahoma"/>
          <w:sz w:val="20"/>
          <w:szCs w:val="20"/>
          <w:lang w:val="en-US"/>
        </w:rPr>
        <w:t>s</w:t>
      </w:r>
      <w:r w:rsidRPr="00D17995">
        <w:rPr>
          <w:rFonts w:ascii="Tahoma" w:hAnsi="Tahoma" w:cs="Tahoma"/>
          <w:sz w:val="20"/>
          <w:szCs w:val="20"/>
          <w:lang w:val="en-US"/>
        </w:rPr>
        <w:t xml:space="preserve"> there are </w:t>
      </w:r>
      <w:r w:rsidR="00587408" w:rsidRPr="00D17995">
        <w:rPr>
          <w:rFonts w:ascii="Tahoma" w:hAnsi="Tahoma" w:cs="Tahoma"/>
          <w:sz w:val="20"/>
          <w:szCs w:val="20"/>
          <w:lang w:val="en-US"/>
        </w:rPr>
        <w:t xml:space="preserve">ISTAT, Eurostat, </w:t>
      </w:r>
      <w:r w:rsidR="00F71B81" w:rsidRPr="00D17995">
        <w:rPr>
          <w:rFonts w:ascii="Tahoma" w:hAnsi="Tahoma" w:cs="Tahoma"/>
          <w:sz w:val="20"/>
          <w:szCs w:val="20"/>
          <w:lang w:val="en-US"/>
        </w:rPr>
        <w:t>OECD</w:t>
      </w:r>
      <w:r w:rsidR="00587408" w:rsidRPr="00D17995">
        <w:rPr>
          <w:rFonts w:ascii="Tahoma" w:hAnsi="Tahoma" w:cs="Tahoma"/>
          <w:sz w:val="20"/>
          <w:szCs w:val="20"/>
          <w:lang w:val="en-US"/>
        </w:rPr>
        <w:t>, Minist</w:t>
      </w:r>
      <w:r w:rsidR="009D448C" w:rsidRPr="00D17995">
        <w:rPr>
          <w:rFonts w:ascii="Tahoma" w:hAnsi="Tahoma" w:cs="Tahoma"/>
          <w:sz w:val="20"/>
          <w:szCs w:val="20"/>
          <w:lang w:val="en-US"/>
        </w:rPr>
        <w:t xml:space="preserve">ry of Economy and Finance, </w:t>
      </w:r>
      <w:r w:rsidR="00587408" w:rsidRPr="00D17995">
        <w:rPr>
          <w:rFonts w:ascii="Tahoma" w:hAnsi="Tahoma" w:cs="Tahoma"/>
          <w:sz w:val="20"/>
          <w:szCs w:val="20"/>
          <w:lang w:val="en-US"/>
        </w:rPr>
        <w:t>Ban</w:t>
      </w:r>
      <w:r w:rsidR="009D448C" w:rsidRPr="00D17995">
        <w:rPr>
          <w:rFonts w:ascii="Tahoma" w:hAnsi="Tahoma" w:cs="Tahoma"/>
          <w:sz w:val="20"/>
          <w:szCs w:val="20"/>
          <w:lang w:val="en-US"/>
        </w:rPr>
        <w:t>k of Italy</w:t>
      </w:r>
      <w:r w:rsidR="00587408" w:rsidRPr="00D17995">
        <w:rPr>
          <w:rFonts w:ascii="Tahoma" w:hAnsi="Tahoma" w:cs="Tahoma"/>
          <w:sz w:val="20"/>
          <w:szCs w:val="20"/>
          <w:lang w:val="en-US"/>
        </w:rPr>
        <w:t xml:space="preserve">, </w:t>
      </w:r>
      <w:proofErr w:type="spellStart"/>
      <w:r w:rsidR="00587408" w:rsidRPr="00D17995">
        <w:rPr>
          <w:rFonts w:ascii="Tahoma" w:hAnsi="Tahoma" w:cs="Tahoma"/>
          <w:sz w:val="20"/>
          <w:szCs w:val="20"/>
          <w:lang w:val="en-US"/>
        </w:rPr>
        <w:t>Infocamere</w:t>
      </w:r>
      <w:proofErr w:type="spellEnd"/>
      <w:r w:rsidR="00587408" w:rsidRPr="00D17995">
        <w:rPr>
          <w:rFonts w:ascii="Tahoma" w:hAnsi="Tahoma" w:cs="Tahoma"/>
          <w:sz w:val="20"/>
          <w:szCs w:val="20"/>
          <w:lang w:val="en-US"/>
        </w:rPr>
        <w:t xml:space="preserve">) </w:t>
      </w:r>
      <w:r w:rsidRPr="00D17995">
        <w:rPr>
          <w:rFonts w:ascii="Tahoma" w:hAnsi="Tahoma" w:cs="Tahoma"/>
          <w:sz w:val="20"/>
          <w:szCs w:val="20"/>
          <w:lang w:val="en-US"/>
        </w:rPr>
        <w:t xml:space="preserve">the Report also presents, as </w:t>
      </w:r>
      <w:r w:rsidR="00F71B81" w:rsidRPr="00D17995">
        <w:rPr>
          <w:rFonts w:ascii="Tahoma" w:hAnsi="Tahoma" w:cs="Tahoma"/>
          <w:sz w:val="20"/>
          <w:szCs w:val="20"/>
          <w:lang w:val="en-US"/>
        </w:rPr>
        <w:t>customary</w:t>
      </w:r>
      <w:r w:rsidRPr="00D17995">
        <w:rPr>
          <w:rFonts w:ascii="Tahoma" w:hAnsi="Tahoma" w:cs="Tahoma"/>
          <w:sz w:val="20"/>
          <w:szCs w:val="20"/>
          <w:lang w:val="en-US"/>
        </w:rPr>
        <w:t xml:space="preserve">, </w:t>
      </w:r>
      <w:r w:rsidR="00F71B81" w:rsidRPr="00D17995">
        <w:rPr>
          <w:rFonts w:ascii="Tahoma" w:hAnsi="Tahoma" w:cs="Tahoma"/>
          <w:sz w:val="20"/>
          <w:szCs w:val="20"/>
          <w:lang w:val="en-US"/>
        </w:rPr>
        <w:t xml:space="preserve">an </w:t>
      </w:r>
      <w:r w:rsidR="009D448C" w:rsidRPr="00D17995">
        <w:rPr>
          <w:rFonts w:ascii="Tahoma" w:hAnsi="Tahoma" w:cs="Tahoma"/>
          <w:sz w:val="20"/>
          <w:szCs w:val="20"/>
          <w:lang w:val="en-US"/>
        </w:rPr>
        <w:t xml:space="preserve">in-depth analysis </w:t>
      </w:r>
      <w:r w:rsidRPr="00D17995">
        <w:rPr>
          <w:rFonts w:ascii="Tahoma" w:hAnsi="Tahoma" w:cs="Tahoma"/>
          <w:sz w:val="20"/>
          <w:szCs w:val="20"/>
          <w:lang w:val="en-US"/>
        </w:rPr>
        <w:t>edited by experts and institutional representatives</w:t>
      </w:r>
      <w:r w:rsidR="00883AF0" w:rsidRPr="00D17995">
        <w:rPr>
          <w:rFonts w:ascii="Tahoma" w:hAnsi="Tahoma" w:cs="Tahoma"/>
          <w:sz w:val="20"/>
          <w:szCs w:val="20"/>
          <w:lang w:val="en-US"/>
        </w:rPr>
        <w:t xml:space="preserve"> (</w:t>
      </w:r>
      <w:r w:rsidRPr="00D17995">
        <w:rPr>
          <w:rFonts w:ascii="Tahoma" w:hAnsi="Tahoma" w:cs="Tahoma"/>
          <w:sz w:val="20"/>
          <w:szCs w:val="20"/>
          <w:lang w:val="en-US"/>
        </w:rPr>
        <w:t>among wh</w:t>
      </w:r>
      <w:r w:rsidR="00F71B81" w:rsidRPr="00D17995">
        <w:rPr>
          <w:rFonts w:ascii="Tahoma" w:hAnsi="Tahoma" w:cs="Tahoma"/>
          <w:sz w:val="20"/>
          <w:szCs w:val="20"/>
          <w:lang w:val="en-US"/>
        </w:rPr>
        <w:t>ich</w:t>
      </w:r>
      <w:r w:rsidRPr="00D17995">
        <w:rPr>
          <w:rFonts w:ascii="Tahoma" w:hAnsi="Tahoma" w:cs="Tahoma"/>
          <w:sz w:val="20"/>
          <w:szCs w:val="20"/>
          <w:lang w:val="en-US"/>
        </w:rPr>
        <w:t>:</w:t>
      </w:r>
      <w:r w:rsidR="00883AF0" w:rsidRPr="00D17995">
        <w:rPr>
          <w:rFonts w:ascii="Tahoma" w:hAnsi="Tahoma" w:cs="Tahoma"/>
          <w:sz w:val="20"/>
          <w:szCs w:val="20"/>
          <w:lang w:val="en-US"/>
        </w:rPr>
        <w:t xml:space="preserve"> </w:t>
      </w:r>
      <w:r w:rsidRPr="00D17995">
        <w:rPr>
          <w:rFonts w:ascii="Tahoma" w:hAnsi="Tahoma" w:cs="Tahoma"/>
          <w:sz w:val="20"/>
          <w:szCs w:val="20"/>
          <w:lang w:val="en-US"/>
        </w:rPr>
        <w:t xml:space="preserve">European Commission, International Organization for Migration, </w:t>
      </w:r>
      <w:r w:rsidR="00883AF0" w:rsidRPr="00D17995">
        <w:rPr>
          <w:rFonts w:ascii="Tahoma" w:hAnsi="Tahoma" w:cs="Tahoma"/>
          <w:sz w:val="20"/>
          <w:szCs w:val="20"/>
          <w:lang w:val="en-US"/>
        </w:rPr>
        <w:t>Minist</w:t>
      </w:r>
      <w:r w:rsidR="009D448C" w:rsidRPr="00D17995">
        <w:rPr>
          <w:rFonts w:ascii="Tahoma" w:hAnsi="Tahoma" w:cs="Tahoma"/>
          <w:sz w:val="20"/>
          <w:szCs w:val="20"/>
          <w:lang w:val="en-US"/>
        </w:rPr>
        <w:t>ry of Economy and Finance,</w:t>
      </w:r>
      <w:r w:rsidR="00883AF0" w:rsidRPr="00D17995">
        <w:rPr>
          <w:rFonts w:ascii="Tahoma" w:hAnsi="Tahoma" w:cs="Tahoma"/>
          <w:sz w:val="20"/>
          <w:szCs w:val="20"/>
          <w:lang w:val="en-US"/>
        </w:rPr>
        <w:t xml:space="preserve"> Minist</w:t>
      </w:r>
      <w:r w:rsidR="009D448C" w:rsidRPr="00D17995">
        <w:rPr>
          <w:rFonts w:ascii="Tahoma" w:hAnsi="Tahoma" w:cs="Tahoma"/>
          <w:sz w:val="20"/>
          <w:szCs w:val="20"/>
          <w:lang w:val="en-US"/>
        </w:rPr>
        <w:t xml:space="preserve">ry of Labor and Social Policy, </w:t>
      </w:r>
      <w:proofErr w:type="spellStart"/>
      <w:r w:rsidR="00883AF0" w:rsidRPr="00D17995">
        <w:rPr>
          <w:rFonts w:ascii="Tahoma" w:hAnsi="Tahoma" w:cs="Tahoma"/>
          <w:sz w:val="20"/>
          <w:szCs w:val="20"/>
          <w:lang w:val="en-US"/>
        </w:rPr>
        <w:t>Confartigianato</w:t>
      </w:r>
      <w:proofErr w:type="spellEnd"/>
      <w:r w:rsidR="00883AF0" w:rsidRPr="00D17995">
        <w:rPr>
          <w:rFonts w:ascii="Tahoma" w:hAnsi="Tahoma" w:cs="Tahoma"/>
          <w:sz w:val="20"/>
          <w:szCs w:val="20"/>
          <w:lang w:val="en-US"/>
        </w:rPr>
        <w:t>)</w:t>
      </w:r>
      <w:r w:rsidR="00587408" w:rsidRPr="00D17995">
        <w:rPr>
          <w:rFonts w:ascii="Tahoma" w:hAnsi="Tahoma" w:cs="Tahoma"/>
          <w:sz w:val="20"/>
          <w:szCs w:val="20"/>
          <w:lang w:val="en-US"/>
        </w:rPr>
        <w:t xml:space="preserve">, </w:t>
      </w:r>
      <w:r w:rsidR="00816723" w:rsidRPr="00D17995">
        <w:rPr>
          <w:rFonts w:ascii="Tahoma" w:hAnsi="Tahoma" w:cs="Tahoma"/>
          <w:sz w:val="20"/>
          <w:szCs w:val="20"/>
          <w:lang w:val="en-US"/>
        </w:rPr>
        <w:t>thus</w:t>
      </w:r>
      <w:r w:rsidRPr="00D17995">
        <w:rPr>
          <w:rFonts w:ascii="Tahoma" w:hAnsi="Tahoma" w:cs="Tahoma"/>
          <w:sz w:val="20"/>
          <w:szCs w:val="20"/>
          <w:lang w:val="en-US"/>
        </w:rPr>
        <w:t xml:space="preserve"> provid</w:t>
      </w:r>
      <w:r w:rsidR="00816723" w:rsidRPr="00D17995">
        <w:rPr>
          <w:rFonts w:ascii="Tahoma" w:hAnsi="Tahoma" w:cs="Tahoma"/>
          <w:sz w:val="20"/>
          <w:szCs w:val="20"/>
          <w:lang w:val="en-US"/>
        </w:rPr>
        <w:t>ing</w:t>
      </w:r>
      <w:r w:rsidRPr="00D17995">
        <w:rPr>
          <w:rFonts w:ascii="Tahoma" w:hAnsi="Tahoma" w:cs="Tahoma"/>
          <w:sz w:val="20"/>
          <w:szCs w:val="20"/>
          <w:lang w:val="en-US"/>
        </w:rPr>
        <w:t xml:space="preserve"> a </w:t>
      </w:r>
      <w:r w:rsidR="009D448C" w:rsidRPr="00D17995">
        <w:rPr>
          <w:rFonts w:ascii="Tahoma" w:hAnsi="Tahoma" w:cs="Tahoma"/>
          <w:sz w:val="20"/>
          <w:szCs w:val="20"/>
          <w:lang w:val="en-US"/>
        </w:rPr>
        <w:t>starting point for reflection</w:t>
      </w:r>
      <w:r w:rsidR="00587408" w:rsidRPr="00D17995">
        <w:rPr>
          <w:rFonts w:ascii="Tahoma" w:hAnsi="Tahoma" w:cs="Tahoma"/>
          <w:sz w:val="20"/>
          <w:szCs w:val="20"/>
          <w:lang w:val="en-US"/>
        </w:rPr>
        <w:t xml:space="preserve"> </w:t>
      </w:r>
      <w:r w:rsidRPr="00D17995">
        <w:rPr>
          <w:rFonts w:ascii="Tahoma" w:hAnsi="Tahoma" w:cs="Tahoma"/>
          <w:sz w:val="20"/>
          <w:szCs w:val="20"/>
          <w:lang w:val="en-US"/>
        </w:rPr>
        <w:t>and data interpretation.</w:t>
      </w:r>
    </w:p>
    <w:p w14:paraId="56B2DEDB" w14:textId="77777777" w:rsidR="00001610" w:rsidRPr="00D17995" w:rsidRDefault="00001610" w:rsidP="00001610">
      <w:pPr>
        <w:spacing w:after="120" w:line="240" w:lineRule="auto"/>
        <w:jc w:val="both"/>
        <w:rPr>
          <w:rFonts w:ascii="Tahoma" w:hAnsi="Tahoma" w:cs="Tahoma"/>
          <w:sz w:val="20"/>
          <w:szCs w:val="20"/>
          <w:lang w:val="en-US"/>
        </w:rPr>
      </w:pPr>
    </w:p>
    <w:p w14:paraId="271C63AF" w14:textId="034C9A66" w:rsidR="0052543D" w:rsidRPr="00D17995" w:rsidRDefault="00796DE4" w:rsidP="0052543D">
      <w:pPr>
        <w:pStyle w:val="Paragrafoelenco"/>
        <w:numPr>
          <w:ilvl w:val="0"/>
          <w:numId w:val="8"/>
        </w:numPr>
        <w:spacing w:after="0" w:line="240" w:lineRule="auto"/>
        <w:ind w:left="284" w:hanging="284"/>
        <w:rPr>
          <w:rFonts w:ascii="Tahoma" w:hAnsi="Tahoma" w:cs="Tahoma"/>
          <w:b/>
          <w:color w:val="auto"/>
          <w:sz w:val="20"/>
          <w:szCs w:val="20"/>
          <w:lang w:val="en-US"/>
        </w:rPr>
      </w:pPr>
      <w:r w:rsidRPr="00D17995">
        <w:rPr>
          <w:rFonts w:ascii="Tahoma" w:hAnsi="Tahoma" w:cs="Tahoma"/>
          <w:b/>
          <w:color w:val="auto"/>
          <w:sz w:val="20"/>
          <w:szCs w:val="20"/>
          <w:lang w:val="en-US"/>
        </w:rPr>
        <w:t xml:space="preserve">Social and demographic dynamics </w:t>
      </w:r>
    </w:p>
    <w:p w14:paraId="0728E82D" w14:textId="77777777" w:rsidR="0052543D" w:rsidRPr="00D17995" w:rsidRDefault="0052543D" w:rsidP="0052543D">
      <w:pPr>
        <w:spacing w:after="0" w:line="240" w:lineRule="auto"/>
        <w:rPr>
          <w:rFonts w:ascii="Tahoma" w:hAnsi="Tahoma" w:cs="Tahoma"/>
          <w:i/>
          <w:color w:val="auto"/>
          <w:sz w:val="20"/>
          <w:szCs w:val="20"/>
          <w:lang w:val="en-US"/>
        </w:rPr>
      </w:pPr>
    </w:p>
    <w:p w14:paraId="475FB148" w14:textId="109CDF31" w:rsidR="0052543D" w:rsidRPr="00D17995" w:rsidRDefault="00796DE4" w:rsidP="0052543D">
      <w:pPr>
        <w:spacing w:after="120" w:line="240" w:lineRule="auto"/>
        <w:jc w:val="both"/>
        <w:rPr>
          <w:rFonts w:ascii="Tahoma" w:hAnsi="Tahoma" w:cs="Tahoma"/>
          <w:sz w:val="20"/>
          <w:szCs w:val="20"/>
          <w:lang w:val="en-US"/>
        </w:rPr>
      </w:pPr>
      <w:r w:rsidRPr="00D17995">
        <w:rPr>
          <w:rFonts w:ascii="Tahoma" w:hAnsi="Tahoma" w:cs="Tahoma"/>
          <w:sz w:val="20"/>
          <w:szCs w:val="20"/>
          <w:lang w:val="en-US"/>
        </w:rPr>
        <w:t xml:space="preserve">The pandemic </w:t>
      </w:r>
      <w:r w:rsidR="009D448C" w:rsidRPr="00D17995">
        <w:rPr>
          <w:rFonts w:ascii="Tahoma" w:hAnsi="Tahoma" w:cs="Tahoma"/>
          <w:sz w:val="20"/>
          <w:szCs w:val="20"/>
          <w:lang w:val="en-US"/>
        </w:rPr>
        <w:t xml:space="preserve">has participated in an already in-progress and </w:t>
      </w:r>
      <w:r w:rsidR="00664D52" w:rsidRPr="00D17995">
        <w:rPr>
          <w:rFonts w:ascii="Tahoma" w:hAnsi="Tahoma" w:cs="Tahoma"/>
          <w:sz w:val="20"/>
          <w:szCs w:val="20"/>
          <w:lang w:val="en-US"/>
        </w:rPr>
        <w:t xml:space="preserve">significant </w:t>
      </w:r>
      <w:r w:rsidR="00816723" w:rsidRPr="00D17995">
        <w:rPr>
          <w:rFonts w:ascii="Tahoma" w:hAnsi="Tahoma" w:cs="Tahoma"/>
          <w:sz w:val="20"/>
          <w:szCs w:val="20"/>
          <w:lang w:val="en-US"/>
        </w:rPr>
        <w:t xml:space="preserve">national </w:t>
      </w:r>
      <w:r w:rsidR="009D448C" w:rsidRPr="00D17995">
        <w:rPr>
          <w:rFonts w:ascii="Tahoma" w:hAnsi="Tahoma" w:cs="Tahoma"/>
          <w:sz w:val="20"/>
          <w:szCs w:val="20"/>
          <w:lang w:val="en-US"/>
        </w:rPr>
        <w:t>demographic change.</w:t>
      </w:r>
      <w:r w:rsidR="0052543D" w:rsidRPr="00D17995">
        <w:rPr>
          <w:rFonts w:ascii="Tahoma" w:hAnsi="Tahoma" w:cs="Tahoma"/>
          <w:sz w:val="20"/>
          <w:szCs w:val="20"/>
          <w:lang w:val="en-US"/>
        </w:rPr>
        <w:t xml:space="preserve"> </w:t>
      </w:r>
      <w:r w:rsidR="00664D52" w:rsidRPr="00D17995">
        <w:rPr>
          <w:rFonts w:ascii="Tahoma" w:hAnsi="Tahoma" w:cs="Tahoma"/>
          <w:sz w:val="20"/>
          <w:szCs w:val="20"/>
          <w:lang w:val="en-US"/>
        </w:rPr>
        <w:t>The so-called “demographic winter”, as demographers address it, is a mix of low birth rate (which has furtherly been exacerbated), extension of life expectancy – with the consequent rise of the elderly cohort</w:t>
      </w:r>
      <w:r w:rsidR="00F71B81" w:rsidRPr="00D17995">
        <w:rPr>
          <w:rFonts w:ascii="Tahoma" w:hAnsi="Tahoma" w:cs="Tahoma"/>
          <w:sz w:val="20"/>
          <w:szCs w:val="20"/>
          <w:lang w:val="en-US"/>
        </w:rPr>
        <w:t xml:space="preserve"> – </w:t>
      </w:r>
      <w:r w:rsidR="00664D52" w:rsidRPr="00D17995">
        <w:rPr>
          <w:rFonts w:ascii="Tahoma" w:hAnsi="Tahoma" w:cs="Tahoma"/>
          <w:sz w:val="20"/>
          <w:szCs w:val="20"/>
          <w:lang w:val="en-US"/>
        </w:rPr>
        <w:t xml:space="preserve">work force emigration abroad and a series of other intertwined phenomena that have characterized the Italian national panorama of the last decades. </w:t>
      </w:r>
    </w:p>
    <w:p w14:paraId="3D20F411" w14:textId="444DE0D1" w:rsidR="0052543D" w:rsidRPr="00D17995" w:rsidRDefault="00664D52" w:rsidP="0052543D">
      <w:pPr>
        <w:spacing w:after="120" w:line="240" w:lineRule="auto"/>
        <w:jc w:val="both"/>
        <w:rPr>
          <w:rFonts w:ascii="Tahoma" w:hAnsi="Tahoma" w:cs="Tahoma"/>
          <w:sz w:val="20"/>
          <w:szCs w:val="20"/>
          <w:lang w:val="en-US"/>
        </w:rPr>
      </w:pPr>
      <w:r w:rsidRPr="00D17995">
        <w:rPr>
          <w:rFonts w:ascii="Tahoma" w:hAnsi="Tahoma" w:cs="Tahoma"/>
          <w:sz w:val="20"/>
          <w:szCs w:val="20"/>
          <w:lang w:val="en-US"/>
        </w:rPr>
        <w:t>For instance, it is significant to witness that the natural growth rate</w:t>
      </w:r>
      <w:r w:rsidR="0052543D" w:rsidRPr="00D17995">
        <w:rPr>
          <w:rFonts w:ascii="Tahoma" w:hAnsi="Tahoma" w:cs="Tahoma"/>
          <w:sz w:val="20"/>
          <w:szCs w:val="20"/>
          <w:lang w:val="en-US"/>
        </w:rPr>
        <w:t xml:space="preserve"> </w:t>
      </w:r>
      <w:r w:rsidR="00587408" w:rsidRPr="00D17995">
        <w:rPr>
          <w:rFonts w:ascii="Tahoma" w:hAnsi="Tahoma" w:cs="Tahoma"/>
          <w:sz w:val="20"/>
          <w:szCs w:val="20"/>
          <w:lang w:val="en-US"/>
        </w:rPr>
        <w:t>(</w:t>
      </w:r>
      <w:r w:rsidRPr="00D17995">
        <w:rPr>
          <w:rFonts w:ascii="Tahoma" w:hAnsi="Tahoma" w:cs="Tahoma"/>
          <w:sz w:val="20"/>
          <w:szCs w:val="20"/>
          <w:lang w:val="en-US"/>
        </w:rPr>
        <w:t>namely, the difference between births and deaths) was negative – by 300 thousand units – in 2021. The</w:t>
      </w:r>
      <w:r w:rsidR="0013787B" w:rsidRPr="00D17995">
        <w:rPr>
          <w:rFonts w:ascii="Tahoma" w:hAnsi="Tahoma" w:cs="Tahoma"/>
          <w:sz w:val="20"/>
          <w:szCs w:val="20"/>
          <w:lang w:val="en-US"/>
        </w:rPr>
        <w:t xml:space="preserve"> inflow of</w:t>
      </w:r>
      <w:r w:rsidRPr="00D17995">
        <w:rPr>
          <w:rFonts w:ascii="Tahoma" w:hAnsi="Tahoma" w:cs="Tahoma"/>
          <w:sz w:val="20"/>
          <w:szCs w:val="20"/>
          <w:lang w:val="en-US"/>
        </w:rPr>
        <w:t xml:space="preserve"> immigrant population, that in </w:t>
      </w:r>
      <w:r w:rsidR="0013787B" w:rsidRPr="00D17995">
        <w:rPr>
          <w:rFonts w:ascii="Tahoma" w:hAnsi="Tahoma" w:cs="Tahoma"/>
          <w:sz w:val="20"/>
          <w:szCs w:val="20"/>
          <w:lang w:val="en-US"/>
        </w:rPr>
        <w:t xml:space="preserve">the </w:t>
      </w:r>
      <w:r w:rsidRPr="00D17995">
        <w:rPr>
          <w:rFonts w:ascii="Tahoma" w:hAnsi="Tahoma" w:cs="Tahoma"/>
          <w:sz w:val="20"/>
          <w:szCs w:val="20"/>
          <w:lang w:val="en-US"/>
        </w:rPr>
        <w:t>last years</w:t>
      </w:r>
      <w:r w:rsidR="0013787B" w:rsidRPr="00D17995">
        <w:rPr>
          <w:rFonts w:ascii="Tahoma" w:hAnsi="Tahoma" w:cs="Tahoma"/>
          <w:sz w:val="20"/>
          <w:szCs w:val="20"/>
          <w:lang w:val="en-US"/>
        </w:rPr>
        <w:t xml:space="preserve"> has</w:t>
      </w:r>
      <w:r w:rsidRPr="00D17995">
        <w:rPr>
          <w:rFonts w:ascii="Tahoma" w:hAnsi="Tahoma" w:cs="Tahoma"/>
          <w:sz w:val="20"/>
          <w:szCs w:val="20"/>
          <w:lang w:val="en-US"/>
        </w:rPr>
        <w:t xml:space="preserve"> represented </w:t>
      </w:r>
      <w:r w:rsidR="0013787B" w:rsidRPr="00D17995">
        <w:rPr>
          <w:rFonts w:ascii="Tahoma" w:hAnsi="Tahoma" w:cs="Tahoma"/>
          <w:sz w:val="20"/>
          <w:szCs w:val="20"/>
          <w:lang w:val="en-US"/>
        </w:rPr>
        <w:t>a valuable resource to counterbalance the demographic decline, is no longer enough.</w:t>
      </w:r>
      <w:r w:rsidR="0052543D" w:rsidRPr="00D17995">
        <w:rPr>
          <w:rFonts w:ascii="Tahoma" w:hAnsi="Tahoma" w:cs="Tahoma"/>
          <w:sz w:val="20"/>
          <w:szCs w:val="20"/>
          <w:lang w:val="en-US"/>
        </w:rPr>
        <w:t xml:space="preserve"> </w:t>
      </w:r>
      <w:r w:rsidR="0013787B" w:rsidRPr="00D17995">
        <w:rPr>
          <w:rFonts w:ascii="Tahoma" w:hAnsi="Tahoma" w:cs="Tahoma"/>
          <w:sz w:val="20"/>
          <w:szCs w:val="20"/>
          <w:lang w:val="en-US"/>
        </w:rPr>
        <w:t xml:space="preserve">Indeed, in </w:t>
      </w:r>
      <w:r w:rsidR="00816723" w:rsidRPr="00D17995">
        <w:rPr>
          <w:rFonts w:ascii="Tahoma" w:hAnsi="Tahoma" w:cs="Tahoma"/>
          <w:sz w:val="20"/>
          <w:szCs w:val="20"/>
          <w:lang w:val="en-US"/>
        </w:rPr>
        <w:t xml:space="preserve">recent </w:t>
      </w:r>
      <w:r w:rsidR="0013787B" w:rsidRPr="00D17995">
        <w:rPr>
          <w:rFonts w:ascii="Tahoma" w:hAnsi="Tahoma" w:cs="Tahoma"/>
          <w:sz w:val="20"/>
          <w:szCs w:val="20"/>
          <w:lang w:val="en-US"/>
        </w:rPr>
        <w:t xml:space="preserve">years, </w:t>
      </w:r>
      <w:r w:rsidR="00816723" w:rsidRPr="00D17995">
        <w:rPr>
          <w:rFonts w:ascii="Tahoma" w:hAnsi="Tahoma" w:cs="Tahoma"/>
          <w:sz w:val="20"/>
          <w:szCs w:val="20"/>
          <w:lang w:val="en-US"/>
        </w:rPr>
        <w:t xml:space="preserve">the figures of </w:t>
      </w:r>
      <w:r w:rsidR="0013787B" w:rsidRPr="00D17995">
        <w:rPr>
          <w:rFonts w:ascii="Tahoma" w:hAnsi="Tahoma" w:cs="Tahoma"/>
          <w:sz w:val="20"/>
          <w:szCs w:val="20"/>
          <w:lang w:val="en-US"/>
        </w:rPr>
        <w:t xml:space="preserve">new arrivals have decreased and </w:t>
      </w:r>
      <w:r w:rsidR="00816723" w:rsidRPr="00D17995">
        <w:rPr>
          <w:rFonts w:ascii="Tahoma" w:hAnsi="Tahoma" w:cs="Tahoma"/>
          <w:sz w:val="20"/>
          <w:szCs w:val="20"/>
          <w:lang w:val="en-US"/>
        </w:rPr>
        <w:t xml:space="preserve">also </w:t>
      </w:r>
      <w:r w:rsidR="0013787B" w:rsidRPr="00D17995">
        <w:rPr>
          <w:rFonts w:ascii="Tahoma" w:hAnsi="Tahoma" w:cs="Tahoma"/>
          <w:sz w:val="20"/>
          <w:szCs w:val="20"/>
          <w:lang w:val="en-US"/>
        </w:rPr>
        <w:t>birth rates ha</w:t>
      </w:r>
      <w:r w:rsidR="00816723" w:rsidRPr="00D17995">
        <w:rPr>
          <w:rFonts w:ascii="Tahoma" w:hAnsi="Tahoma" w:cs="Tahoma"/>
          <w:sz w:val="20"/>
          <w:szCs w:val="20"/>
          <w:lang w:val="en-US"/>
        </w:rPr>
        <w:t>ve</w:t>
      </w:r>
      <w:r w:rsidR="0013787B" w:rsidRPr="00D17995">
        <w:rPr>
          <w:rFonts w:ascii="Tahoma" w:hAnsi="Tahoma" w:cs="Tahoma"/>
          <w:sz w:val="20"/>
          <w:szCs w:val="20"/>
          <w:lang w:val="en-US"/>
        </w:rPr>
        <w:t xml:space="preserve"> declined among foreign-born nationals.</w:t>
      </w:r>
    </w:p>
    <w:p w14:paraId="34401302" w14:textId="48F42E67" w:rsidR="0052543D" w:rsidRPr="00D17995" w:rsidRDefault="0013787B" w:rsidP="0052543D">
      <w:pPr>
        <w:spacing w:after="120" w:line="240" w:lineRule="auto"/>
        <w:jc w:val="both"/>
        <w:rPr>
          <w:rFonts w:ascii="Tahoma" w:hAnsi="Tahoma" w:cs="Tahoma"/>
          <w:sz w:val="20"/>
          <w:szCs w:val="20"/>
          <w:lang w:val="en-US"/>
        </w:rPr>
      </w:pPr>
      <w:r w:rsidRPr="00D17995">
        <w:rPr>
          <w:rFonts w:ascii="Tahoma" w:hAnsi="Tahoma" w:cs="Tahoma"/>
          <w:sz w:val="20"/>
          <w:szCs w:val="20"/>
          <w:lang w:val="en-US"/>
        </w:rPr>
        <w:t>Furthermore, in the last years, the composition of new arrivals has significantly changed</w:t>
      </w:r>
      <w:r w:rsidR="0052543D" w:rsidRPr="00D17995">
        <w:rPr>
          <w:rFonts w:ascii="Tahoma" w:hAnsi="Tahoma" w:cs="Tahoma"/>
          <w:sz w:val="20"/>
          <w:szCs w:val="20"/>
          <w:lang w:val="en-US"/>
        </w:rPr>
        <w:t xml:space="preserve">, </w:t>
      </w:r>
      <w:r w:rsidR="00EE1521" w:rsidRPr="00D17995">
        <w:rPr>
          <w:rFonts w:ascii="Tahoma" w:hAnsi="Tahoma" w:cs="Tahoma"/>
          <w:sz w:val="20"/>
          <w:szCs w:val="20"/>
          <w:lang w:val="en-US"/>
        </w:rPr>
        <w:t>with increasingly less “planned” arrivals</w:t>
      </w:r>
      <w:r w:rsidR="0052543D" w:rsidRPr="00D17995">
        <w:rPr>
          <w:rFonts w:ascii="Tahoma" w:hAnsi="Tahoma" w:cs="Tahoma"/>
          <w:sz w:val="20"/>
          <w:szCs w:val="20"/>
          <w:lang w:val="en-US"/>
        </w:rPr>
        <w:t xml:space="preserve"> (</w:t>
      </w:r>
      <w:r w:rsidR="00EE1521" w:rsidRPr="00D17995">
        <w:rPr>
          <w:rFonts w:ascii="Tahoma" w:hAnsi="Tahoma" w:cs="Tahoma"/>
          <w:sz w:val="20"/>
          <w:szCs w:val="20"/>
          <w:lang w:val="en-US"/>
        </w:rPr>
        <w:t xml:space="preserve">employment-based admissions) and more and more “non-planned” </w:t>
      </w:r>
      <w:r w:rsidR="00816723" w:rsidRPr="00D17995">
        <w:rPr>
          <w:rFonts w:ascii="Tahoma" w:hAnsi="Tahoma" w:cs="Tahoma"/>
          <w:sz w:val="20"/>
          <w:szCs w:val="20"/>
          <w:lang w:val="en-US"/>
        </w:rPr>
        <w:t>entrances</w:t>
      </w:r>
      <w:r w:rsidR="00EE1521" w:rsidRPr="00D17995">
        <w:rPr>
          <w:rFonts w:ascii="Tahoma" w:hAnsi="Tahoma" w:cs="Tahoma"/>
          <w:sz w:val="20"/>
          <w:szCs w:val="20"/>
          <w:lang w:val="en-US"/>
        </w:rPr>
        <w:t xml:space="preserve">: EU citizens’ registrations, admissions on humanitarian grounds, family reunifications. This also changes the composition of the foreign population in Italy, which </w:t>
      </w:r>
      <w:r w:rsidR="00816723" w:rsidRPr="00D17995">
        <w:rPr>
          <w:rFonts w:ascii="Tahoma" w:hAnsi="Tahoma" w:cs="Tahoma"/>
          <w:sz w:val="20"/>
          <w:szCs w:val="20"/>
          <w:lang w:val="en-US"/>
        </w:rPr>
        <w:t>has now reached</w:t>
      </w:r>
      <w:r w:rsidR="00EE1521" w:rsidRPr="00D17995">
        <w:rPr>
          <w:rFonts w:ascii="Tahoma" w:hAnsi="Tahoma" w:cs="Tahoma"/>
          <w:sz w:val="20"/>
          <w:szCs w:val="20"/>
          <w:lang w:val="en-US"/>
        </w:rPr>
        <w:t xml:space="preserve"> 9% of the total population, with peaks over 15% in many large cities in the Center-North. </w:t>
      </w:r>
    </w:p>
    <w:p w14:paraId="1925FD9C" w14:textId="14EDE541" w:rsidR="0052543D" w:rsidRPr="00D17995" w:rsidRDefault="00EE1521" w:rsidP="0052543D">
      <w:pPr>
        <w:spacing w:after="120" w:line="240" w:lineRule="auto"/>
        <w:jc w:val="both"/>
        <w:rPr>
          <w:rFonts w:ascii="Tahoma" w:hAnsi="Tahoma" w:cs="Tahoma"/>
          <w:sz w:val="20"/>
          <w:szCs w:val="20"/>
          <w:lang w:val="en-US"/>
        </w:rPr>
      </w:pPr>
      <w:r w:rsidRPr="00D17995">
        <w:rPr>
          <w:rFonts w:ascii="Tahoma" w:hAnsi="Tahoma" w:cs="Tahoma"/>
          <w:sz w:val="20"/>
          <w:szCs w:val="20"/>
          <w:lang w:val="en-US"/>
        </w:rPr>
        <w:t xml:space="preserve">The presence of over a million of “new Italians” is also not to be neglected. </w:t>
      </w:r>
      <w:r w:rsidR="00816723" w:rsidRPr="00D17995">
        <w:rPr>
          <w:rFonts w:ascii="Tahoma" w:hAnsi="Tahoma" w:cs="Tahoma"/>
          <w:sz w:val="20"/>
          <w:szCs w:val="20"/>
          <w:lang w:val="en-US"/>
        </w:rPr>
        <w:t>This expression indicates</w:t>
      </w:r>
      <w:r w:rsidRPr="00D17995">
        <w:rPr>
          <w:rFonts w:ascii="Tahoma" w:hAnsi="Tahoma" w:cs="Tahoma"/>
          <w:sz w:val="20"/>
          <w:szCs w:val="20"/>
          <w:lang w:val="en-US"/>
        </w:rPr>
        <w:t xml:space="preserve"> immigrants that</w:t>
      </w:r>
      <w:r w:rsidR="00021CD4" w:rsidRPr="00D17995">
        <w:rPr>
          <w:rFonts w:ascii="Tahoma" w:hAnsi="Tahoma" w:cs="Tahoma"/>
          <w:sz w:val="20"/>
          <w:szCs w:val="20"/>
          <w:lang w:val="en-US"/>
        </w:rPr>
        <w:t xml:space="preserve"> are well integrated in the territory and</w:t>
      </w:r>
      <w:r w:rsidRPr="00D17995">
        <w:rPr>
          <w:rFonts w:ascii="Tahoma" w:hAnsi="Tahoma" w:cs="Tahoma"/>
          <w:sz w:val="20"/>
          <w:szCs w:val="20"/>
          <w:lang w:val="en-US"/>
        </w:rPr>
        <w:t xml:space="preserve"> have acquired the Italian citizenship. </w:t>
      </w:r>
    </w:p>
    <w:p w14:paraId="617F00E4" w14:textId="2B872C52" w:rsidR="00587408" w:rsidRPr="00D17995" w:rsidRDefault="00021CD4" w:rsidP="0052543D">
      <w:pPr>
        <w:spacing w:after="120" w:line="240" w:lineRule="auto"/>
        <w:jc w:val="both"/>
        <w:rPr>
          <w:rFonts w:ascii="Tahoma" w:hAnsi="Tahoma" w:cs="Tahoma"/>
          <w:sz w:val="20"/>
          <w:szCs w:val="20"/>
          <w:lang w:val="en-US"/>
        </w:rPr>
      </w:pPr>
      <w:r w:rsidRPr="00D17995">
        <w:rPr>
          <w:rFonts w:ascii="Tahoma" w:hAnsi="Tahoma" w:cs="Tahoma"/>
          <w:sz w:val="20"/>
          <w:szCs w:val="20"/>
          <w:lang w:val="en-US"/>
        </w:rPr>
        <w:t xml:space="preserve">Therefore, the figure of the immigrant population in Italy, which has now reached 5.2 million of residents, would further inflate if “foreign-origin Italians” and irregular immigrants are also </w:t>
      </w:r>
      <w:r w:rsidR="00D17995" w:rsidRPr="00D17995">
        <w:rPr>
          <w:rFonts w:ascii="Tahoma" w:hAnsi="Tahoma" w:cs="Tahoma"/>
          <w:sz w:val="20"/>
          <w:szCs w:val="20"/>
          <w:lang w:val="en-US"/>
        </w:rPr>
        <w:t>considered</w:t>
      </w:r>
      <w:r w:rsidRPr="00D17995">
        <w:rPr>
          <w:rFonts w:ascii="Tahoma" w:hAnsi="Tahoma" w:cs="Tahoma"/>
          <w:sz w:val="20"/>
          <w:szCs w:val="20"/>
          <w:lang w:val="en-US"/>
        </w:rPr>
        <w:t>, as they altogether reach a population of about 6 million. Nevertheless, the statistics consider</w:t>
      </w:r>
      <w:r w:rsidR="00816723" w:rsidRPr="00D17995">
        <w:rPr>
          <w:rFonts w:ascii="Tahoma" w:hAnsi="Tahoma" w:cs="Tahoma"/>
          <w:sz w:val="20"/>
          <w:szCs w:val="20"/>
          <w:lang w:val="en-US"/>
        </w:rPr>
        <w:t xml:space="preserve"> to be</w:t>
      </w:r>
      <w:r w:rsidRPr="00D17995">
        <w:rPr>
          <w:rFonts w:ascii="Tahoma" w:hAnsi="Tahoma" w:cs="Tahoma"/>
          <w:sz w:val="20"/>
          <w:szCs w:val="20"/>
          <w:lang w:val="en-US"/>
        </w:rPr>
        <w:t xml:space="preserve"> “foreigners” those children (minors) born from foreign parents (about a million). These youths need to wait until their coming of age to be able to apply for the citizenship of the country where they were born and grew up. </w:t>
      </w:r>
    </w:p>
    <w:p w14:paraId="60522602" w14:textId="1395FE23" w:rsidR="0052543D" w:rsidRDefault="0052543D" w:rsidP="0052543D">
      <w:pPr>
        <w:spacing w:after="0" w:line="240" w:lineRule="auto"/>
        <w:rPr>
          <w:rFonts w:ascii="Tahoma" w:hAnsi="Tahoma" w:cs="Tahoma"/>
          <w:sz w:val="20"/>
          <w:szCs w:val="20"/>
          <w:lang w:val="en-US"/>
        </w:rPr>
      </w:pPr>
    </w:p>
    <w:p w14:paraId="7C43509D" w14:textId="77777777" w:rsidR="00E37E78" w:rsidRPr="00D17995" w:rsidRDefault="00E37E78" w:rsidP="0052543D">
      <w:pPr>
        <w:spacing w:after="0" w:line="240" w:lineRule="auto"/>
        <w:rPr>
          <w:rFonts w:ascii="Tahoma" w:hAnsi="Tahoma" w:cs="Tahoma"/>
          <w:sz w:val="20"/>
          <w:szCs w:val="20"/>
          <w:lang w:val="en-US"/>
        </w:rPr>
      </w:pPr>
    </w:p>
    <w:p w14:paraId="4A890C3E" w14:textId="5412A7C8" w:rsidR="0052543D" w:rsidRPr="00D17995" w:rsidRDefault="00992C9C" w:rsidP="0052543D">
      <w:pPr>
        <w:pStyle w:val="Paragrafoelenco"/>
        <w:numPr>
          <w:ilvl w:val="0"/>
          <w:numId w:val="8"/>
        </w:numPr>
        <w:spacing w:after="0" w:line="240" w:lineRule="auto"/>
        <w:ind w:left="284" w:hanging="284"/>
        <w:rPr>
          <w:rFonts w:ascii="Tahoma" w:hAnsi="Tahoma" w:cs="Tahoma"/>
          <w:b/>
          <w:color w:val="auto"/>
          <w:sz w:val="20"/>
          <w:szCs w:val="20"/>
          <w:lang w:val="en-US"/>
        </w:rPr>
      </w:pPr>
      <w:r w:rsidRPr="00D17995">
        <w:rPr>
          <w:rFonts w:ascii="Tahoma" w:hAnsi="Tahoma" w:cs="Tahoma"/>
          <w:b/>
          <w:color w:val="auto"/>
          <w:sz w:val="20"/>
          <w:szCs w:val="20"/>
          <w:lang w:val="en-US"/>
        </w:rPr>
        <w:lastRenderedPageBreak/>
        <w:t xml:space="preserve">Immigration’s economic contribution in Italy </w:t>
      </w:r>
    </w:p>
    <w:p w14:paraId="06A7877C" w14:textId="77777777" w:rsidR="0052543D" w:rsidRPr="00D17995" w:rsidRDefault="0052543D" w:rsidP="0052543D">
      <w:pPr>
        <w:spacing w:after="0" w:line="240" w:lineRule="auto"/>
        <w:rPr>
          <w:rFonts w:ascii="Tahoma" w:hAnsi="Tahoma" w:cs="Tahoma"/>
          <w:color w:val="auto"/>
          <w:sz w:val="20"/>
          <w:szCs w:val="20"/>
          <w:lang w:val="en-US"/>
        </w:rPr>
      </w:pPr>
    </w:p>
    <w:p w14:paraId="6405552B" w14:textId="042E9271" w:rsidR="0071687C" w:rsidRPr="00D17995" w:rsidRDefault="008E76E0" w:rsidP="0052543D">
      <w:pPr>
        <w:spacing w:after="120" w:line="240" w:lineRule="auto"/>
        <w:jc w:val="both"/>
        <w:rPr>
          <w:rFonts w:ascii="Tahoma" w:hAnsi="Tahoma" w:cs="Tahoma"/>
          <w:sz w:val="20"/>
          <w:szCs w:val="20"/>
          <w:lang w:val="en-US"/>
        </w:rPr>
      </w:pPr>
      <w:r w:rsidRPr="00D17995">
        <w:rPr>
          <w:rFonts w:ascii="Tahoma" w:hAnsi="Tahoma" w:cs="Tahoma"/>
          <w:sz w:val="20"/>
          <w:szCs w:val="20"/>
          <w:lang w:val="en-US"/>
        </w:rPr>
        <w:t xml:space="preserve">After the occupational crisis which took place </w:t>
      </w:r>
      <w:r w:rsidR="00816723" w:rsidRPr="00D17995">
        <w:rPr>
          <w:rFonts w:ascii="Tahoma" w:hAnsi="Tahoma" w:cs="Tahoma"/>
          <w:sz w:val="20"/>
          <w:szCs w:val="20"/>
          <w:lang w:val="en-US"/>
        </w:rPr>
        <w:t xml:space="preserve">in </w:t>
      </w:r>
      <w:r w:rsidRPr="00D17995">
        <w:rPr>
          <w:rFonts w:ascii="Tahoma" w:hAnsi="Tahoma" w:cs="Tahoma"/>
          <w:sz w:val="20"/>
          <w:szCs w:val="20"/>
          <w:lang w:val="en-US"/>
        </w:rPr>
        <w:t xml:space="preserve">2020 due to the pandemic </w:t>
      </w:r>
      <w:r w:rsidR="0071687C" w:rsidRPr="00D17995">
        <w:rPr>
          <w:rFonts w:ascii="Tahoma" w:hAnsi="Tahoma" w:cs="Tahoma"/>
          <w:sz w:val="20"/>
          <w:szCs w:val="20"/>
          <w:lang w:val="en-US"/>
        </w:rPr>
        <w:t>(-3</w:t>
      </w:r>
      <w:r w:rsidRPr="00D17995">
        <w:rPr>
          <w:rFonts w:ascii="Tahoma" w:hAnsi="Tahoma" w:cs="Tahoma"/>
          <w:sz w:val="20"/>
          <w:szCs w:val="20"/>
          <w:lang w:val="en-US"/>
        </w:rPr>
        <w:t>.</w:t>
      </w:r>
      <w:r w:rsidR="0071687C" w:rsidRPr="00D17995">
        <w:rPr>
          <w:rFonts w:ascii="Tahoma" w:hAnsi="Tahoma" w:cs="Tahoma"/>
          <w:sz w:val="20"/>
          <w:szCs w:val="20"/>
          <w:lang w:val="en-US"/>
        </w:rPr>
        <w:t xml:space="preserve">1% </w:t>
      </w:r>
      <w:r w:rsidRPr="00D17995">
        <w:rPr>
          <w:rFonts w:ascii="Tahoma" w:hAnsi="Tahoma" w:cs="Tahoma"/>
          <w:sz w:val="20"/>
          <w:szCs w:val="20"/>
          <w:lang w:val="en-US"/>
        </w:rPr>
        <w:t xml:space="preserve">of employed in Italy), in </w:t>
      </w:r>
      <w:r w:rsidR="0071687C" w:rsidRPr="00D17995">
        <w:rPr>
          <w:rFonts w:ascii="Tahoma" w:hAnsi="Tahoma" w:cs="Tahoma"/>
          <w:sz w:val="20"/>
          <w:szCs w:val="20"/>
          <w:lang w:val="en-US"/>
        </w:rPr>
        <w:t>2021</w:t>
      </w:r>
      <w:r w:rsidR="00816723" w:rsidRPr="00D17995">
        <w:rPr>
          <w:rFonts w:ascii="Tahoma" w:hAnsi="Tahoma" w:cs="Tahoma"/>
          <w:sz w:val="20"/>
          <w:szCs w:val="20"/>
          <w:lang w:val="en-US"/>
        </w:rPr>
        <w:t>,</w:t>
      </w:r>
      <w:r w:rsidR="0071687C" w:rsidRPr="00D17995">
        <w:rPr>
          <w:rFonts w:ascii="Tahoma" w:hAnsi="Tahoma" w:cs="Tahoma"/>
          <w:sz w:val="20"/>
          <w:szCs w:val="20"/>
          <w:lang w:val="en-US"/>
        </w:rPr>
        <w:t xml:space="preserve"> </w:t>
      </w:r>
      <w:r w:rsidRPr="00D17995">
        <w:rPr>
          <w:rFonts w:ascii="Tahoma" w:hAnsi="Tahoma" w:cs="Tahoma"/>
          <w:sz w:val="20"/>
          <w:szCs w:val="20"/>
          <w:lang w:val="en-US"/>
        </w:rPr>
        <w:t xml:space="preserve">a </w:t>
      </w:r>
      <w:r w:rsidR="00816723" w:rsidRPr="00D17995">
        <w:rPr>
          <w:rFonts w:ascii="Tahoma" w:hAnsi="Tahoma" w:cs="Tahoma"/>
          <w:sz w:val="20"/>
          <w:szCs w:val="20"/>
          <w:lang w:val="en-US"/>
        </w:rPr>
        <w:t xml:space="preserve">slight </w:t>
      </w:r>
      <w:r w:rsidRPr="00D17995">
        <w:rPr>
          <w:rFonts w:ascii="Tahoma" w:hAnsi="Tahoma" w:cs="Tahoma"/>
          <w:sz w:val="20"/>
          <w:szCs w:val="20"/>
          <w:lang w:val="en-US"/>
        </w:rPr>
        <w:t>increase was registered</w:t>
      </w:r>
      <w:r w:rsidR="00816723" w:rsidRPr="00D17995">
        <w:rPr>
          <w:rFonts w:ascii="Tahoma" w:hAnsi="Tahoma" w:cs="Tahoma"/>
          <w:sz w:val="20"/>
          <w:szCs w:val="20"/>
          <w:lang w:val="en-US"/>
        </w:rPr>
        <w:t xml:space="preserve"> in employment rates</w:t>
      </w:r>
      <w:r w:rsidRPr="00D17995">
        <w:rPr>
          <w:rFonts w:ascii="Tahoma" w:hAnsi="Tahoma" w:cs="Tahoma"/>
          <w:sz w:val="20"/>
          <w:szCs w:val="20"/>
          <w:lang w:val="en-US"/>
        </w:rPr>
        <w:t xml:space="preserve"> </w:t>
      </w:r>
      <w:r w:rsidR="0071687C" w:rsidRPr="00D17995">
        <w:rPr>
          <w:rFonts w:ascii="Tahoma" w:hAnsi="Tahoma" w:cs="Tahoma"/>
          <w:sz w:val="20"/>
          <w:szCs w:val="20"/>
          <w:lang w:val="en-US"/>
        </w:rPr>
        <w:t>(+0</w:t>
      </w:r>
      <w:r w:rsidRPr="00D17995">
        <w:rPr>
          <w:rFonts w:ascii="Tahoma" w:hAnsi="Tahoma" w:cs="Tahoma"/>
          <w:sz w:val="20"/>
          <w:szCs w:val="20"/>
          <w:lang w:val="en-US"/>
        </w:rPr>
        <w:t>.</w:t>
      </w:r>
      <w:r w:rsidR="0071687C" w:rsidRPr="00D17995">
        <w:rPr>
          <w:rFonts w:ascii="Tahoma" w:hAnsi="Tahoma" w:cs="Tahoma"/>
          <w:sz w:val="20"/>
          <w:szCs w:val="20"/>
          <w:lang w:val="en-US"/>
        </w:rPr>
        <w:t>8%).</w:t>
      </w:r>
    </w:p>
    <w:p w14:paraId="3BA14A82" w14:textId="49FDD901" w:rsidR="0071687C" w:rsidRPr="00D17995" w:rsidRDefault="008E76E0" w:rsidP="0071687C">
      <w:pPr>
        <w:spacing w:after="120" w:line="240" w:lineRule="auto"/>
        <w:jc w:val="both"/>
        <w:rPr>
          <w:rFonts w:ascii="Tahoma" w:hAnsi="Tahoma" w:cs="Tahoma"/>
          <w:sz w:val="20"/>
          <w:szCs w:val="20"/>
          <w:lang w:val="en-US"/>
        </w:rPr>
      </w:pPr>
      <w:r w:rsidRPr="00D17995">
        <w:rPr>
          <w:rFonts w:ascii="Tahoma" w:hAnsi="Tahoma" w:cs="Tahoma"/>
          <w:sz w:val="20"/>
          <w:szCs w:val="20"/>
          <w:lang w:val="en-US"/>
        </w:rPr>
        <w:t xml:space="preserve">In </w:t>
      </w:r>
      <w:r w:rsidR="0071687C" w:rsidRPr="00D17995">
        <w:rPr>
          <w:rFonts w:ascii="Tahoma" w:hAnsi="Tahoma" w:cs="Tahoma"/>
          <w:sz w:val="20"/>
          <w:szCs w:val="20"/>
          <w:lang w:val="en-US"/>
        </w:rPr>
        <w:t xml:space="preserve">2020, </w:t>
      </w:r>
      <w:r w:rsidRPr="00D17995">
        <w:rPr>
          <w:rFonts w:ascii="Tahoma" w:hAnsi="Tahoma" w:cs="Tahoma"/>
          <w:sz w:val="20"/>
          <w:szCs w:val="20"/>
          <w:lang w:val="en-US"/>
        </w:rPr>
        <w:t>precarious workers were the most affected by the situation, as they were not sheltered by the so-called “</w:t>
      </w:r>
      <w:r w:rsidR="00D17995" w:rsidRPr="00D17995">
        <w:rPr>
          <w:rFonts w:ascii="Tahoma" w:hAnsi="Tahoma" w:cs="Tahoma"/>
          <w:sz w:val="20"/>
          <w:szCs w:val="20"/>
          <w:lang w:val="en-US"/>
        </w:rPr>
        <w:t>dismissals suspension</w:t>
      </w:r>
      <w:r w:rsidRPr="00D17995">
        <w:rPr>
          <w:rFonts w:ascii="Tahoma" w:hAnsi="Tahoma" w:cs="Tahoma"/>
          <w:sz w:val="20"/>
          <w:szCs w:val="20"/>
          <w:lang w:val="en-US"/>
        </w:rPr>
        <w:t xml:space="preserve">”. Among the most fragile categories of the labor market, women – and, more specifically, foreign women – were the most affected. It is enough to consider that foreign women, who represents the 4.2% of the work force, lost </w:t>
      </w:r>
      <w:r w:rsidR="0071687C" w:rsidRPr="00D17995">
        <w:rPr>
          <w:rFonts w:ascii="Tahoma" w:hAnsi="Tahoma" w:cs="Tahoma"/>
          <w:sz w:val="20"/>
          <w:szCs w:val="20"/>
          <w:lang w:val="en-US"/>
        </w:rPr>
        <w:t>16</w:t>
      </w:r>
      <w:r w:rsidRPr="00D17995">
        <w:rPr>
          <w:rFonts w:ascii="Tahoma" w:hAnsi="Tahoma" w:cs="Tahoma"/>
          <w:sz w:val="20"/>
          <w:szCs w:val="20"/>
          <w:lang w:val="en-US"/>
        </w:rPr>
        <w:t>.</w:t>
      </w:r>
      <w:r w:rsidR="0071687C" w:rsidRPr="00D17995">
        <w:rPr>
          <w:rFonts w:ascii="Tahoma" w:hAnsi="Tahoma" w:cs="Tahoma"/>
          <w:sz w:val="20"/>
          <w:szCs w:val="20"/>
          <w:lang w:val="en-US"/>
        </w:rPr>
        <w:t xml:space="preserve">3% </w:t>
      </w:r>
      <w:r w:rsidRPr="00D17995">
        <w:rPr>
          <w:rFonts w:ascii="Tahoma" w:hAnsi="Tahoma" w:cs="Tahoma"/>
          <w:sz w:val="20"/>
          <w:szCs w:val="20"/>
          <w:lang w:val="en-US"/>
        </w:rPr>
        <w:t xml:space="preserve">of jobs </w:t>
      </w:r>
      <w:r w:rsidR="00322C2E" w:rsidRPr="00D17995">
        <w:rPr>
          <w:rFonts w:ascii="Tahoma" w:hAnsi="Tahoma" w:cs="Tahoma"/>
          <w:sz w:val="20"/>
          <w:szCs w:val="20"/>
          <w:lang w:val="en-US"/>
        </w:rPr>
        <w:t xml:space="preserve">(724 </w:t>
      </w:r>
      <w:r w:rsidRPr="00D17995">
        <w:rPr>
          <w:rFonts w:ascii="Tahoma" w:hAnsi="Tahoma" w:cs="Tahoma"/>
          <w:sz w:val="20"/>
          <w:szCs w:val="20"/>
          <w:lang w:val="en-US"/>
        </w:rPr>
        <w:t>thousand</w:t>
      </w:r>
      <w:r w:rsidR="00322C2E" w:rsidRPr="00D17995">
        <w:rPr>
          <w:rFonts w:ascii="Tahoma" w:hAnsi="Tahoma" w:cs="Tahoma"/>
          <w:sz w:val="20"/>
          <w:szCs w:val="20"/>
          <w:lang w:val="en-US"/>
        </w:rPr>
        <w:t>)</w:t>
      </w:r>
      <w:r w:rsidR="0071687C" w:rsidRPr="00D17995">
        <w:rPr>
          <w:rFonts w:ascii="Tahoma" w:hAnsi="Tahoma" w:cs="Tahoma"/>
          <w:sz w:val="20"/>
          <w:szCs w:val="20"/>
          <w:lang w:val="en-US"/>
        </w:rPr>
        <w:t xml:space="preserve">, </w:t>
      </w:r>
      <w:r w:rsidRPr="00D17995">
        <w:rPr>
          <w:rFonts w:ascii="Tahoma" w:hAnsi="Tahoma" w:cs="Tahoma"/>
          <w:sz w:val="20"/>
          <w:szCs w:val="20"/>
          <w:lang w:val="en-US"/>
        </w:rPr>
        <w:t>in</w:t>
      </w:r>
      <w:r w:rsidR="0071687C" w:rsidRPr="00D17995">
        <w:rPr>
          <w:rFonts w:ascii="Tahoma" w:hAnsi="Tahoma" w:cs="Tahoma"/>
          <w:sz w:val="20"/>
          <w:szCs w:val="20"/>
          <w:lang w:val="en-US"/>
        </w:rPr>
        <w:t xml:space="preserve"> 2020, </w:t>
      </w:r>
      <w:r w:rsidRPr="00D17995">
        <w:rPr>
          <w:rFonts w:ascii="Tahoma" w:hAnsi="Tahoma" w:cs="Tahoma"/>
          <w:sz w:val="20"/>
          <w:szCs w:val="20"/>
          <w:lang w:val="en-US"/>
        </w:rPr>
        <w:t>due to the pandemic.</w:t>
      </w:r>
    </w:p>
    <w:p w14:paraId="35B428AE" w14:textId="77777777" w:rsidR="0071687C" w:rsidRPr="00D17995" w:rsidRDefault="0071687C" w:rsidP="0052543D">
      <w:pPr>
        <w:spacing w:after="120" w:line="240" w:lineRule="auto"/>
        <w:jc w:val="both"/>
        <w:rPr>
          <w:rFonts w:ascii="Tahoma" w:hAnsi="Tahoma" w:cs="Tahoma"/>
          <w:sz w:val="20"/>
          <w:szCs w:val="20"/>
          <w:lang w:val="en-US"/>
        </w:rPr>
      </w:pPr>
    </w:p>
    <w:p w14:paraId="0FD8BF49" w14:textId="61052BB8" w:rsidR="00FC0159" w:rsidRPr="00D17995" w:rsidRDefault="008E76E0" w:rsidP="0052543D">
      <w:pPr>
        <w:spacing w:after="120" w:line="240" w:lineRule="auto"/>
        <w:jc w:val="both"/>
        <w:rPr>
          <w:rFonts w:ascii="Tahoma" w:hAnsi="Tahoma" w:cs="Tahoma"/>
          <w:sz w:val="20"/>
          <w:szCs w:val="20"/>
          <w:lang w:val="en-US"/>
        </w:rPr>
      </w:pPr>
      <w:r w:rsidRPr="00D17995">
        <w:rPr>
          <w:rFonts w:ascii="Tahoma" w:hAnsi="Tahoma" w:cs="Tahoma"/>
          <w:sz w:val="20"/>
          <w:szCs w:val="20"/>
          <w:lang w:val="en-US"/>
        </w:rPr>
        <w:t xml:space="preserve">To date, the Italian labor market still appears strongly fragmented, as some sectors or occupations are characterized by a significant </w:t>
      </w:r>
      <w:r w:rsidR="00FC0159" w:rsidRPr="00D17995">
        <w:rPr>
          <w:rFonts w:ascii="Tahoma" w:hAnsi="Tahoma" w:cs="Tahoma"/>
          <w:sz w:val="20"/>
          <w:szCs w:val="20"/>
          <w:lang w:val="en-US"/>
        </w:rPr>
        <w:t>presen</w:t>
      </w:r>
      <w:r w:rsidR="00242706" w:rsidRPr="00D17995">
        <w:rPr>
          <w:rFonts w:ascii="Tahoma" w:hAnsi="Tahoma" w:cs="Tahoma"/>
          <w:sz w:val="20"/>
          <w:szCs w:val="20"/>
          <w:lang w:val="en-US"/>
        </w:rPr>
        <w:t>ce</w:t>
      </w:r>
      <w:r w:rsidR="00FC0159" w:rsidRPr="00D17995">
        <w:rPr>
          <w:rFonts w:ascii="Tahoma" w:hAnsi="Tahoma" w:cs="Tahoma"/>
          <w:sz w:val="20"/>
          <w:szCs w:val="20"/>
          <w:lang w:val="en-US"/>
        </w:rPr>
        <w:t xml:space="preserve"> of immigrant workers. In fact, </w:t>
      </w:r>
      <w:r w:rsidR="00242706" w:rsidRPr="00D17995">
        <w:rPr>
          <w:rFonts w:ascii="Tahoma" w:hAnsi="Tahoma" w:cs="Tahoma"/>
          <w:sz w:val="20"/>
          <w:szCs w:val="20"/>
          <w:lang w:val="en-US"/>
        </w:rPr>
        <w:t xml:space="preserve">in 2021, </w:t>
      </w:r>
      <w:r w:rsidR="00FC0159" w:rsidRPr="00D17995">
        <w:rPr>
          <w:rFonts w:ascii="Tahoma" w:hAnsi="Tahoma" w:cs="Tahoma"/>
          <w:sz w:val="20"/>
          <w:szCs w:val="20"/>
          <w:lang w:val="en-US"/>
        </w:rPr>
        <w:t>the incidence of foreign laborers was on average</w:t>
      </w:r>
      <w:r w:rsidR="00242706" w:rsidRPr="00D17995">
        <w:rPr>
          <w:rFonts w:ascii="Tahoma" w:hAnsi="Tahoma" w:cs="Tahoma"/>
          <w:sz w:val="20"/>
          <w:szCs w:val="20"/>
          <w:lang w:val="en-US"/>
        </w:rPr>
        <w:t xml:space="preserve"> 10%</w:t>
      </w:r>
      <w:r w:rsidR="00FC0159" w:rsidRPr="00D17995">
        <w:rPr>
          <w:rFonts w:ascii="Tahoma" w:hAnsi="Tahoma" w:cs="Tahoma"/>
          <w:sz w:val="20"/>
          <w:szCs w:val="20"/>
          <w:lang w:val="en-US"/>
        </w:rPr>
        <w:t xml:space="preserve"> of the total of employees</w:t>
      </w:r>
      <w:r w:rsidR="0052543D" w:rsidRPr="00D17995">
        <w:rPr>
          <w:rFonts w:ascii="Tahoma" w:hAnsi="Tahoma" w:cs="Tahoma"/>
          <w:sz w:val="20"/>
          <w:szCs w:val="20"/>
          <w:lang w:val="en-US"/>
        </w:rPr>
        <w:t xml:space="preserve"> </w:t>
      </w:r>
      <w:r w:rsidR="00FC0159" w:rsidRPr="00D17995">
        <w:rPr>
          <w:rFonts w:ascii="Tahoma" w:hAnsi="Tahoma" w:cs="Tahoma"/>
          <w:sz w:val="20"/>
          <w:szCs w:val="20"/>
          <w:lang w:val="en-US"/>
        </w:rPr>
        <w:t xml:space="preserve">and figures stretched from </w:t>
      </w:r>
      <w:r w:rsidR="0052543D" w:rsidRPr="00D17995">
        <w:rPr>
          <w:rFonts w:ascii="Tahoma" w:hAnsi="Tahoma" w:cs="Tahoma"/>
          <w:sz w:val="20"/>
          <w:szCs w:val="20"/>
          <w:lang w:val="en-US"/>
        </w:rPr>
        <w:t>2</w:t>
      </w:r>
      <w:r w:rsidR="00FC0159" w:rsidRPr="00D17995">
        <w:rPr>
          <w:rFonts w:ascii="Tahoma" w:hAnsi="Tahoma" w:cs="Tahoma"/>
          <w:sz w:val="20"/>
          <w:szCs w:val="20"/>
          <w:lang w:val="en-US"/>
        </w:rPr>
        <w:t>.</w:t>
      </w:r>
      <w:r w:rsidR="0052543D" w:rsidRPr="00D17995">
        <w:rPr>
          <w:rFonts w:ascii="Tahoma" w:hAnsi="Tahoma" w:cs="Tahoma"/>
          <w:sz w:val="20"/>
          <w:szCs w:val="20"/>
          <w:lang w:val="en-US"/>
        </w:rPr>
        <w:t xml:space="preserve">2% </w:t>
      </w:r>
      <w:r w:rsidR="00242706" w:rsidRPr="00D17995">
        <w:rPr>
          <w:rFonts w:ascii="Tahoma" w:hAnsi="Tahoma" w:cs="Tahoma"/>
          <w:sz w:val="20"/>
          <w:szCs w:val="20"/>
          <w:lang w:val="en-US"/>
        </w:rPr>
        <w:t>for</w:t>
      </w:r>
      <w:r w:rsidR="00FC0159" w:rsidRPr="00D17995">
        <w:rPr>
          <w:rFonts w:ascii="Tahoma" w:hAnsi="Tahoma" w:cs="Tahoma"/>
          <w:sz w:val="20"/>
          <w:szCs w:val="20"/>
          <w:lang w:val="en-US"/>
        </w:rPr>
        <w:t xml:space="preserve"> skilled and technical professions to </w:t>
      </w:r>
      <w:r w:rsidR="0052543D" w:rsidRPr="00D17995">
        <w:rPr>
          <w:rFonts w:ascii="Tahoma" w:hAnsi="Tahoma" w:cs="Tahoma"/>
          <w:sz w:val="20"/>
          <w:szCs w:val="20"/>
          <w:lang w:val="en-US"/>
        </w:rPr>
        <w:t>29</w:t>
      </w:r>
      <w:r w:rsidR="00FC0159" w:rsidRPr="00D17995">
        <w:rPr>
          <w:rFonts w:ascii="Tahoma" w:hAnsi="Tahoma" w:cs="Tahoma"/>
          <w:sz w:val="20"/>
          <w:szCs w:val="20"/>
          <w:lang w:val="en-US"/>
        </w:rPr>
        <w:t>.</w:t>
      </w:r>
      <w:r w:rsidR="0052543D" w:rsidRPr="00D17995">
        <w:rPr>
          <w:rFonts w:ascii="Tahoma" w:hAnsi="Tahoma" w:cs="Tahoma"/>
          <w:sz w:val="20"/>
          <w:szCs w:val="20"/>
          <w:lang w:val="en-US"/>
        </w:rPr>
        <w:t xml:space="preserve">2% </w:t>
      </w:r>
      <w:r w:rsidR="00242706" w:rsidRPr="00D17995">
        <w:rPr>
          <w:rFonts w:ascii="Tahoma" w:hAnsi="Tahoma" w:cs="Tahoma"/>
          <w:sz w:val="20"/>
          <w:szCs w:val="20"/>
          <w:lang w:val="en-US"/>
        </w:rPr>
        <w:t>for</w:t>
      </w:r>
      <w:r w:rsidR="00FC0159" w:rsidRPr="00D17995">
        <w:rPr>
          <w:rFonts w:ascii="Tahoma" w:hAnsi="Tahoma" w:cs="Tahoma"/>
          <w:sz w:val="20"/>
          <w:szCs w:val="20"/>
          <w:lang w:val="en-US"/>
        </w:rPr>
        <w:t xml:space="preserve"> unskilled personnel. </w:t>
      </w:r>
    </w:p>
    <w:p w14:paraId="42DAEB37" w14:textId="6E3DDE3C" w:rsidR="0052543D" w:rsidRPr="00D17995" w:rsidRDefault="00242706" w:rsidP="0052543D">
      <w:pPr>
        <w:spacing w:after="120" w:line="240" w:lineRule="auto"/>
        <w:jc w:val="both"/>
        <w:rPr>
          <w:rFonts w:ascii="Tahoma" w:hAnsi="Tahoma" w:cs="Tahoma"/>
          <w:sz w:val="20"/>
          <w:szCs w:val="20"/>
          <w:lang w:val="en-US"/>
        </w:rPr>
      </w:pPr>
      <w:r w:rsidRPr="00D17995">
        <w:rPr>
          <w:rFonts w:ascii="Tahoma" w:hAnsi="Tahoma" w:cs="Tahoma"/>
          <w:sz w:val="20"/>
          <w:szCs w:val="20"/>
          <w:lang w:val="en-US"/>
        </w:rPr>
        <w:t>Looking at the same occurrence f</w:t>
      </w:r>
      <w:r w:rsidR="00FC0159" w:rsidRPr="00D17995">
        <w:rPr>
          <w:rFonts w:ascii="Tahoma" w:hAnsi="Tahoma" w:cs="Tahoma"/>
          <w:sz w:val="20"/>
          <w:szCs w:val="20"/>
          <w:lang w:val="en-US"/>
        </w:rPr>
        <w:t xml:space="preserve">rom another perspective, almost a third of foreign workers </w:t>
      </w:r>
      <w:r w:rsidR="0052543D" w:rsidRPr="00D17995">
        <w:rPr>
          <w:rFonts w:ascii="Tahoma" w:hAnsi="Tahoma" w:cs="Tahoma"/>
          <w:sz w:val="20"/>
          <w:szCs w:val="20"/>
          <w:lang w:val="en-US"/>
        </w:rPr>
        <w:t>(31</w:t>
      </w:r>
      <w:r w:rsidR="00FC0159" w:rsidRPr="00D17995">
        <w:rPr>
          <w:rFonts w:ascii="Tahoma" w:hAnsi="Tahoma" w:cs="Tahoma"/>
          <w:sz w:val="20"/>
          <w:szCs w:val="20"/>
          <w:lang w:val="en-US"/>
        </w:rPr>
        <w:t>.</w:t>
      </w:r>
      <w:r w:rsidR="0052543D" w:rsidRPr="00D17995">
        <w:rPr>
          <w:rFonts w:ascii="Tahoma" w:hAnsi="Tahoma" w:cs="Tahoma"/>
          <w:sz w:val="20"/>
          <w:szCs w:val="20"/>
          <w:lang w:val="en-US"/>
        </w:rPr>
        <w:t xml:space="preserve">7%) </w:t>
      </w:r>
      <w:r w:rsidR="00FC0159" w:rsidRPr="00D17995">
        <w:rPr>
          <w:rFonts w:ascii="Tahoma" w:hAnsi="Tahoma" w:cs="Tahoma"/>
          <w:sz w:val="20"/>
          <w:szCs w:val="20"/>
          <w:lang w:val="en-US"/>
        </w:rPr>
        <w:t>performs an unskilled job, while this percentage is limited to 8.</w:t>
      </w:r>
      <w:r w:rsidR="0052543D" w:rsidRPr="00D17995">
        <w:rPr>
          <w:rFonts w:ascii="Tahoma" w:hAnsi="Tahoma" w:cs="Tahoma"/>
          <w:sz w:val="20"/>
          <w:szCs w:val="20"/>
          <w:lang w:val="en-US"/>
        </w:rPr>
        <w:t>5%</w:t>
      </w:r>
      <w:r w:rsidR="00FC0159" w:rsidRPr="00D17995">
        <w:rPr>
          <w:rFonts w:ascii="Tahoma" w:hAnsi="Tahoma" w:cs="Tahoma"/>
          <w:sz w:val="20"/>
          <w:szCs w:val="20"/>
          <w:lang w:val="en-US"/>
        </w:rPr>
        <w:t xml:space="preserve"> for Italian workers</w:t>
      </w:r>
      <w:r w:rsidR="0052543D" w:rsidRPr="00D17995">
        <w:rPr>
          <w:rFonts w:ascii="Tahoma" w:hAnsi="Tahoma" w:cs="Tahoma"/>
          <w:sz w:val="20"/>
          <w:szCs w:val="20"/>
          <w:lang w:val="en-US"/>
        </w:rPr>
        <w:t xml:space="preserve">. </w:t>
      </w:r>
    </w:p>
    <w:p w14:paraId="049B93BC" w14:textId="52083C63" w:rsidR="00B845F1" w:rsidRPr="00D17995" w:rsidRDefault="00FC0159" w:rsidP="00B845F1">
      <w:pPr>
        <w:spacing w:after="120" w:line="240" w:lineRule="auto"/>
        <w:jc w:val="both"/>
        <w:rPr>
          <w:rFonts w:ascii="Tahoma" w:hAnsi="Tahoma" w:cs="Tahoma"/>
          <w:sz w:val="20"/>
          <w:szCs w:val="20"/>
          <w:lang w:val="en-US"/>
        </w:rPr>
      </w:pPr>
      <w:r w:rsidRPr="00D17995">
        <w:rPr>
          <w:rFonts w:ascii="Tahoma" w:hAnsi="Tahoma" w:cs="Tahoma"/>
          <w:sz w:val="20"/>
          <w:szCs w:val="20"/>
          <w:lang w:val="en-US"/>
        </w:rPr>
        <w:t>This leads the analysis to another topic, beside the one on social immobility</w:t>
      </w:r>
      <w:r w:rsidR="00242706" w:rsidRPr="00D17995">
        <w:rPr>
          <w:rFonts w:ascii="Tahoma" w:hAnsi="Tahoma" w:cs="Tahoma"/>
          <w:sz w:val="20"/>
          <w:szCs w:val="20"/>
          <w:lang w:val="en-US"/>
        </w:rPr>
        <w:t>:</w:t>
      </w:r>
      <w:r w:rsidRPr="00D17995">
        <w:rPr>
          <w:rFonts w:ascii="Tahoma" w:hAnsi="Tahoma" w:cs="Tahoma"/>
          <w:sz w:val="20"/>
          <w:szCs w:val="20"/>
          <w:lang w:val="en-US"/>
        </w:rPr>
        <w:t xml:space="preserve"> namely the “waste” of talents. In fact, many foreign workers find themselves tied to an unskilled occupation despite they hold a degree or have higher competences. This phenomenon</w:t>
      </w:r>
      <w:r w:rsidR="0052543D" w:rsidRPr="00D17995">
        <w:rPr>
          <w:rFonts w:ascii="Tahoma" w:hAnsi="Tahoma" w:cs="Tahoma"/>
          <w:sz w:val="20"/>
          <w:szCs w:val="20"/>
          <w:lang w:val="en-US"/>
        </w:rPr>
        <w:t xml:space="preserve"> (</w:t>
      </w:r>
      <w:r w:rsidR="00905449" w:rsidRPr="00D17995">
        <w:rPr>
          <w:rFonts w:ascii="Tahoma" w:hAnsi="Tahoma" w:cs="Tahoma"/>
          <w:sz w:val="20"/>
          <w:szCs w:val="20"/>
          <w:lang w:val="en-US"/>
        </w:rPr>
        <w:t xml:space="preserve">that is, </w:t>
      </w:r>
      <w:r w:rsidR="0052543D" w:rsidRPr="00D17995">
        <w:rPr>
          <w:rFonts w:ascii="Tahoma" w:hAnsi="Tahoma" w:cs="Tahoma"/>
          <w:sz w:val="20"/>
          <w:szCs w:val="20"/>
          <w:lang w:val="en-US"/>
        </w:rPr>
        <w:t>“</w:t>
      </w:r>
      <w:r w:rsidR="0052543D" w:rsidRPr="00D17995">
        <w:rPr>
          <w:rFonts w:ascii="Tahoma" w:hAnsi="Tahoma" w:cs="Tahoma"/>
          <w:iCs/>
          <w:sz w:val="20"/>
          <w:szCs w:val="20"/>
          <w:lang w:val="en-US"/>
        </w:rPr>
        <w:t>overeducation</w:t>
      </w:r>
      <w:r w:rsidR="0052543D" w:rsidRPr="00D17995">
        <w:rPr>
          <w:rFonts w:ascii="Tahoma" w:hAnsi="Tahoma" w:cs="Tahoma"/>
          <w:sz w:val="20"/>
          <w:szCs w:val="20"/>
          <w:lang w:val="en-US"/>
        </w:rPr>
        <w:t xml:space="preserve">”), </w:t>
      </w:r>
      <w:r w:rsidR="00905449" w:rsidRPr="00D17995">
        <w:rPr>
          <w:rFonts w:ascii="Tahoma" w:hAnsi="Tahoma" w:cs="Tahoma"/>
          <w:sz w:val="20"/>
          <w:szCs w:val="20"/>
          <w:lang w:val="en-US"/>
        </w:rPr>
        <w:t>is more widespread among foreigners due to a series of factors: the lack of linguistic proficiency, a scarce knowledge of the territory, the necessity to have an occupation to renew the residen</w:t>
      </w:r>
      <w:r w:rsidR="00242706" w:rsidRPr="00D17995">
        <w:rPr>
          <w:rFonts w:ascii="Tahoma" w:hAnsi="Tahoma" w:cs="Tahoma"/>
          <w:sz w:val="20"/>
          <w:szCs w:val="20"/>
          <w:lang w:val="en-US"/>
        </w:rPr>
        <w:t>ce</w:t>
      </w:r>
      <w:r w:rsidR="00905449" w:rsidRPr="00D17995">
        <w:rPr>
          <w:rFonts w:ascii="Tahoma" w:hAnsi="Tahoma" w:cs="Tahoma"/>
          <w:sz w:val="20"/>
          <w:szCs w:val="20"/>
          <w:lang w:val="en-US"/>
        </w:rPr>
        <w:t xml:space="preserve"> permit,</w:t>
      </w:r>
      <w:r w:rsidR="00242706" w:rsidRPr="00D17995">
        <w:rPr>
          <w:rFonts w:ascii="Tahoma" w:hAnsi="Tahoma" w:cs="Tahoma"/>
          <w:sz w:val="20"/>
          <w:szCs w:val="20"/>
          <w:lang w:val="en-US"/>
        </w:rPr>
        <w:t xml:space="preserve"> and</w:t>
      </w:r>
      <w:r w:rsidR="00905449" w:rsidRPr="00D17995">
        <w:rPr>
          <w:rFonts w:ascii="Tahoma" w:hAnsi="Tahoma" w:cs="Tahoma"/>
          <w:sz w:val="20"/>
          <w:szCs w:val="20"/>
          <w:lang w:val="en-US"/>
        </w:rPr>
        <w:t xml:space="preserve"> the lack of a family network that would allow to decline a job offer that does not correspond to one’s competences. </w:t>
      </w:r>
    </w:p>
    <w:p w14:paraId="5F7F3DB4" w14:textId="158B2385" w:rsidR="0052543D" w:rsidRPr="00D17995" w:rsidRDefault="00905449" w:rsidP="00B845F1">
      <w:pPr>
        <w:spacing w:after="120" w:line="240" w:lineRule="auto"/>
        <w:jc w:val="both"/>
        <w:rPr>
          <w:rFonts w:ascii="Tahoma" w:hAnsi="Tahoma" w:cs="Tahoma"/>
          <w:sz w:val="20"/>
          <w:szCs w:val="20"/>
          <w:lang w:val="en-US"/>
        </w:rPr>
      </w:pPr>
      <w:r w:rsidRPr="00D17995">
        <w:rPr>
          <w:rFonts w:ascii="Tahoma" w:hAnsi="Tahoma" w:cs="Tahoma"/>
          <w:sz w:val="20"/>
          <w:szCs w:val="20"/>
          <w:lang w:val="en-US"/>
        </w:rPr>
        <w:t>It is</w:t>
      </w:r>
      <w:r w:rsidR="00242706" w:rsidRPr="00D17995">
        <w:rPr>
          <w:rFonts w:ascii="Tahoma" w:hAnsi="Tahoma" w:cs="Tahoma"/>
          <w:sz w:val="20"/>
          <w:szCs w:val="20"/>
          <w:lang w:val="en-US"/>
        </w:rPr>
        <w:t xml:space="preserve"> also</w:t>
      </w:r>
      <w:r w:rsidRPr="00D17995">
        <w:rPr>
          <w:rFonts w:ascii="Tahoma" w:hAnsi="Tahoma" w:cs="Tahoma"/>
          <w:sz w:val="20"/>
          <w:szCs w:val="20"/>
          <w:lang w:val="en-US"/>
        </w:rPr>
        <w:t xml:space="preserve"> worth </w:t>
      </w:r>
      <w:r w:rsidR="00242706" w:rsidRPr="00D17995">
        <w:rPr>
          <w:rFonts w:ascii="Tahoma" w:hAnsi="Tahoma" w:cs="Tahoma"/>
          <w:sz w:val="20"/>
          <w:szCs w:val="20"/>
          <w:lang w:val="en-US"/>
        </w:rPr>
        <w:t xml:space="preserve">of </w:t>
      </w:r>
      <w:r w:rsidRPr="00D17995">
        <w:rPr>
          <w:rFonts w:ascii="Tahoma" w:hAnsi="Tahoma" w:cs="Tahoma"/>
          <w:sz w:val="20"/>
          <w:szCs w:val="20"/>
          <w:lang w:val="en-US"/>
        </w:rPr>
        <w:t xml:space="preserve">attention the Italian immigrant entrepreneurship </w:t>
      </w:r>
      <w:r w:rsidR="00242706" w:rsidRPr="00D17995">
        <w:rPr>
          <w:rFonts w:ascii="Tahoma" w:hAnsi="Tahoma" w:cs="Tahoma"/>
          <w:sz w:val="20"/>
          <w:szCs w:val="20"/>
          <w:lang w:val="en-US"/>
        </w:rPr>
        <w:t xml:space="preserve">phenomenon </w:t>
      </w:r>
      <w:r w:rsidRPr="00D17995">
        <w:rPr>
          <w:rFonts w:ascii="Tahoma" w:hAnsi="Tahoma" w:cs="Tahoma"/>
          <w:sz w:val="20"/>
          <w:szCs w:val="20"/>
          <w:lang w:val="en-US"/>
        </w:rPr>
        <w:t xml:space="preserve">that counted 753 thousand foreign-born entrepreneurs (physical corporate office persons operating in companies in Italy) and </w:t>
      </w:r>
      <w:r w:rsidR="00B845F1" w:rsidRPr="00D17995">
        <w:rPr>
          <w:rFonts w:ascii="Tahoma" w:hAnsi="Tahoma" w:cs="Tahoma"/>
          <w:sz w:val="20"/>
          <w:szCs w:val="20"/>
          <w:lang w:val="en-US"/>
        </w:rPr>
        <w:t xml:space="preserve">572 </w:t>
      </w:r>
      <w:r w:rsidRPr="00D17995">
        <w:rPr>
          <w:rFonts w:ascii="Tahoma" w:hAnsi="Tahoma" w:cs="Tahoma"/>
          <w:sz w:val="20"/>
          <w:szCs w:val="20"/>
          <w:lang w:val="en-US"/>
        </w:rPr>
        <w:t>thousand foreign-guided enterprises by the end of 2021</w:t>
      </w:r>
      <w:r w:rsidR="00B845F1" w:rsidRPr="00D17995">
        <w:rPr>
          <w:rFonts w:ascii="Tahoma" w:hAnsi="Tahoma" w:cs="Tahoma"/>
          <w:sz w:val="20"/>
          <w:szCs w:val="20"/>
          <w:lang w:val="en-US"/>
        </w:rPr>
        <w:t>.</w:t>
      </w:r>
    </w:p>
    <w:p w14:paraId="2F6F1B40" w14:textId="47F2A09F" w:rsidR="00B845F1" w:rsidRPr="00D17995" w:rsidRDefault="00905449" w:rsidP="00B845F1">
      <w:pPr>
        <w:spacing w:after="120" w:line="240" w:lineRule="auto"/>
        <w:jc w:val="both"/>
        <w:rPr>
          <w:rFonts w:ascii="Tahoma" w:hAnsi="Tahoma" w:cs="Tahoma"/>
          <w:sz w:val="20"/>
          <w:szCs w:val="20"/>
          <w:lang w:val="en-US"/>
        </w:rPr>
      </w:pPr>
      <w:r w:rsidRPr="00D17995">
        <w:rPr>
          <w:rFonts w:ascii="Tahoma" w:hAnsi="Tahoma" w:cs="Tahoma"/>
          <w:sz w:val="20"/>
          <w:szCs w:val="20"/>
          <w:lang w:val="en-US"/>
        </w:rPr>
        <w:t xml:space="preserve">In the last ten years, while the figure of Italian-born entrepreneurs decreased by </w:t>
      </w:r>
      <w:r w:rsidR="00B845F1" w:rsidRPr="00D17995">
        <w:rPr>
          <w:rFonts w:ascii="Tahoma" w:hAnsi="Tahoma" w:cs="Tahoma"/>
          <w:sz w:val="20"/>
          <w:szCs w:val="20"/>
          <w:lang w:val="en-US"/>
        </w:rPr>
        <w:t>-8</w:t>
      </w:r>
      <w:r w:rsidR="00FF401C" w:rsidRPr="00D17995">
        <w:rPr>
          <w:rFonts w:ascii="Tahoma" w:hAnsi="Tahoma" w:cs="Tahoma"/>
          <w:sz w:val="20"/>
          <w:szCs w:val="20"/>
          <w:lang w:val="en-US"/>
        </w:rPr>
        <w:t>.</w:t>
      </w:r>
      <w:r w:rsidR="00B845F1" w:rsidRPr="00D17995">
        <w:rPr>
          <w:rFonts w:ascii="Tahoma" w:hAnsi="Tahoma" w:cs="Tahoma"/>
          <w:sz w:val="20"/>
          <w:szCs w:val="20"/>
          <w:lang w:val="en-US"/>
        </w:rPr>
        <w:t xml:space="preserve">6%, </w:t>
      </w:r>
      <w:r w:rsidRPr="00D17995">
        <w:rPr>
          <w:rFonts w:ascii="Tahoma" w:hAnsi="Tahoma" w:cs="Tahoma"/>
          <w:sz w:val="20"/>
          <w:szCs w:val="20"/>
          <w:lang w:val="en-US"/>
        </w:rPr>
        <w:t>foreign-born entrepreneurs grew by</w:t>
      </w:r>
      <w:r w:rsidR="00B845F1" w:rsidRPr="00D17995">
        <w:rPr>
          <w:rFonts w:ascii="Tahoma" w:hAnsi="Tahoma" w:cs="Tahoma"/>
          <w:sz w:val="20"/>
          <w:szCs w:val="20"/>
          <w:lang w:val="en-US"/>
        </w:rPr>
        <w:t xml:space="preserve"> +31</w:t>
      </w:r>
      <w:r w:rsidR="00FF401C" w:rsidRPr="00D17995">
        <w:rPr>
          <w:rFonts w:ascii="Tahoma" w:hAnsi="Tahoma" w:cs="Tahoma"/>
          <w:sz w:val="20"/>
          <w:szCs w:val="20"/>
          <w:lang w:val="en-US"/>
        </w:rPr>
        <w:t>.</w:t>
      </w:r>
      <w:r w:rsidR="00B845F1" w:rsidRPr="00D17995">
        <w:rPr>
          <w:rFonts w:ascii="Tahoma" w:hAnsi="Tahoma" w:cs="Tahoma"/>
          <w:sz w:val="20"/>
          <w:szCs w:val="20"/>
          <w:lang w:val="en-US"/>
        </w:rPr>
        <w:t xml:space="preserve">6%, </w:t>
      </w:r>
      <w:r w:rsidRPr="00D17995">
        <w:rPr>
          <w:rFonts w:ascii="Tahoma" w:hAnsi="Tahoma" w:cs="Tahoma"/>
          <w:sz w:val="20"/>
          <w:szCs w:val="20"/>
          <w:lang w:val="en-US"/>
        </w:rPr>
        <w:t>thus representing a tenth of total entrepreneurs.</w:t>
      </w:r>
      <w:r w:rsidR="00B845F1" w:rsidRPr="00D17995">
        <w:rPr>
          <w:rFonts w:ascii="Tahoma" w:hAnsi="Tahoma" w:cs="Tahoma"/>
          <w:sz w:val="20"/>
          <w:szCs w:val="20"/>
          <w:lang w:val="en-US"/>
        </w:rPr>
        <w:t xml:space="preserve"> </w:t>
      </w:r>
    </w:p>
    <w:p w14:paraId="54753F90" w14:textId="309887BC" w:rsidR="00B845F1" w:rsidRPr="00D17995" w:rsidRDefault="00905449" w:rsidP="00B845F1">
      <w:pPr>
        <w:spacing w:after="120" w:line="240" w:lineRule="auto"/>
        <w:jc w:val="both"/>
        <w:rPr>
          <w:rFonts w:ascii="Tahoma" w:hAnsi="Tahoma" w:cs="Tahoma"/>
          <w:sz w:val="20"/>
          <w:szCs w:val="20"/>
          <w:lang w:val="en-US"/>
        </w:rPr>
      </w:pPr>
      <w:r w:rsidRPr="00D17995">
        <w:rPr>
          <w:rFonts w:ascii="Tahoma" w:hAnsi="Tahoma" w:cs="Tahoma"/>
          <w:sz w:val="20"/>
          <w:szCs w:val="20"/>
          <w:lang w:val="en-US"/>
        </w:rPr>
        <w:t xml:space="preserve">This phenomenon </w:t>
      </w:r>
      <w:r w:rsidR="002D48BF" w:rsidRPr="00D17995">
        <w:rPr>
          <w:rFonts w:ascii="Tahoma" w:hAnsi="Tahoma" w:cs="Tahoma"/>
          <w:sz w:val="20"/>
          <w:szCs w:val="20"/>
          <w:lang w:val="en-US"/>
        </w:rPr>
        <w:t>is marked by</w:t>
      </w:r>
      <w:r w:rsidRPr="00D17995">
        <w:rPr>
          <w:rFonts w:ascii="Tahoma" w:hAnsi="Tahoma" w:cs="Tahoma"/>
          <w:sz w:val="20"/>
          <w:szCs w:val="20"/>
          <w:lang w:val="en-US"/>
        </w:rPr>
        <w:t xml:space="preserve"> both lights and shadows: </w:t>
      </w:r>
      <w:r w:rsidR="002D48BF" w:rsidRPr="00D17995">
        <w:rPr>
          <w:rFonts w:ascii="Tahoma" w:hAnsi="Tahoma" w:cs="Tahoma"/>
          <w:sz w:val="20"/>
          <w:szCs w:val="20"/>
          <w:lang w:val="en-US"/>
        </w:rPr>
        <w:t xml:space="preserve">although the increase of foreign-lead enterprises might indicate an ongoing “integration” process </w:t>
      </w:r>
      <w:r w:rsidR="00B845F1" w:rsidRPr="00D17995">
        <w:rPr>
          <w:rFonts w:ascii="Tahoma" w:hAnsi="Tahoma" w:cs="Tahoma"/>
          <w:sz w:val="20"/>
          <w:szCs w:val="20"/>
          <w:lang w:val="en-US"/>
        </w:rPr>
        <w:t>in Ital</w:t>
      </w:r>
      <w:r w:rsidR="002D48BF" w:rsidRPr="00D17995">
        <w:rPr>
          <w:rFonts w:ascii="Tahoma" w:hAnsi="Tahoma" w:cs="Tahoma"/>
          <w:sz w:val="20"/>
          <w:szCs w:val="20"/>
          <w:lang w:val="en-US"/>
        </w:rPr>
        <w:t>y</w:t>
      </w:r>
      <w:r w:rsidR="00B845F1" w:rsidRPr="00D17995">
        <w:rPr>
          <w:rFonts w:ascii="Tahoma" w:hAnsi="Tahoma" w:cs="Tahoma"/>
          <w:sz w:val="20"/>
          <w:szCs w:val="20"/>
          <w:lang w:val="en-US"/>
        </w:rPr>
        <w:t xml:space="preserve">, </w:t>
      </w:r>
      <w:r w:rsidR="002D48BF" w:rsidRPr="00D17995">
        <w:rPr>
          <w:rFonts w:ascii="Tahoma" w:hAnsi="Tahoma" w:cs="Tahoma"/>
          <w:sz w:val="20"/>
          <w:szCs w:val="20"/>
          <w:lang w:val="en-US"/>
        </w:rPr>
        <w:t xml:space="preserve">it is clear that in many cases such new foreign-owned companies are set in certain market segments characterized by low productivity and low value. In this way, such dynamics determines a “replacement from below” compared to previous businesses. The challenge for the whole national system is to be able to build synergies and exchanges between Italian and “foreign” enterprises, so to prompt a reciprocal and comprehensive growth. </w:t>
      </w:r>
    </w:p>
    <w:p w14:paraId="311464EF" w14:textId="77777777" w:rsidR="0052543D" w:rsidRPr="00D17995" w:rsidRDefault="0052543D" w:rsidP="00B845F1">
      <w:pPr>
        <w:spacing w:after="120" w:line="240" w:lineRule="auto"/>
        <w:rPr>
          <w:rFonts w:ascii="Tahoma" w:hAnsi="Tahoma" w:cs="Tahoma"/>
          <w:sz w:val="20"/>
          <w:szCs w:val="20"/>
          <w:lang w:val="en-US"/>
        </w:rPr>
      </w:pPr>
    </w:p>
    <w:p w14:paraId="7670F4B2" w14:textId="60D2FB59" w:rsidR="0052543D" w:rsidRPr="00D17995" w:rsidRDefault="00992C9C" w:rsidP="0052543D">
      <w:pPr>
        <w:pStyle w:val="Paragrafoelenco"/>
        <w:numPr>
          <w:ilvl w:val="0"/>
          <w:numId w:val="8"/>
        </w:numPr>
        <w:spacing w:after="0" w:line="240" w:lineRule="auto"/>
        <w:ind w:left="284" w:hanging="284"/>
        <w:rPr>
          <w:rFonts w:ascii="Tahoma" w:hAnsi="Tahoma" w:cs="Tahoma"/>
          <w:b/>
          <w:color w:val="auto"/>
          <w:sz w:val="20"/>
          <w:szCs w:val="20"/>
          <w:lang w:val="en-US"/>
        </w:rPr>
      </w:pPr>
      <w:r w:rsidRPr="00D17995">
        <w:rPr>
          <w:rFonts w:ascii="Tahoma" w:hAnsi="Tahoma" w:cs="Tahoma"/>
          <w:b/>
          <w:color w:val="auto"/>
          <w:sz w:val="20"/>
          <w:szCs w:val="20"/>
          <w:lang w:val="en-US"/>
        </w:rPr>
        <w:t xml:space="preserve">The fiscal impact of immigration in Italy </w:t>
      </w:r>
    </w:p>
    <w:p w14:paraId="666842A1" w14:textId="77777777" w:rsidR="0052543D" w:rsidRPr="00D17995" w:rsidRDefault="0052543D" w:rsidP="0052543D">
      <w:pPr>
        <w:spacing w:after="0" w:line="240" w:lineRule="auto"/>
        <w:rPr>
          <w:rFonts w:ascii="Tahoma" w:hAnsi="Tahoma" w:cs="Tahoma"/>
          <w:i/>
          <w:color w:val="auto"/>
          <w:sz w:val="20"/>
          <w:szCs w:val="20"/>
          <w:lang w:val="en-US"/>
        </w:rPr>
      </w:pPr>
    </w:p>
    <w:p w14:paraId="48D0FEF8" w14:textId="49921852" w:rsidR="001C2987" w:rsidRPr="00D17995" w:rsidRDefault="00FF401C" w:rsidP="009B4580">
      <w:pPr>
        <w:spacing w:after="0" w:line="240" w:lineRule="auto"/>
        <w:jc w:val="both"/>
        <w:rPr>
          <w:rFonts w:ascii="Tahoma" w:hAnsi="Tahoma" w:cs="Tahoma"/>
          <w:sz w:val="20"/>
          <w:szCs w:val="20"/>
          <w:lang w:val="en-US"/>
        </w:rPr>
      </w:pPr>
      <w:r w:rsidRPr="00D17995">
        <w:rPr>
          <w:rFonts w:ascii="Tahoma" w:hAnsi="Tahoma" w:cs="Tahoma"/>
          <w:sz w:val="20"/>
          <w:szCs w:val="20"/>
          <w:lang w:val="en-US"/>
        </w:rPr>
        <w:t xml:space="preserve">Lately, </w:t>
      </w:r>
      <w:r w:rsidR="00242706" w:rsidRPr="00D17995">
        <w:rPr>
          <w:rFonts w:ascii="Tahoma" w:hAnsi="Tahoma" w:cs="Tahoma"/>
          <w:sz w:val="20"/>
          <w:szCs w:val="20"/>
          <w:lang w:val="en-US"/>
        </w:rPr>
        <w:t xml:space="preserve">in Italy, </w:t>
      </w:r>
      <w:r w:rsidRPr="00D17995">
        <w:rPr>
          <w:rFonts w:ascii="Tahoma" w:hAnsi="Tahoma" w:cs="Tahoma"/>
          <w:sz w:val="20"/>
          <w:szCs w:val="20"/>
          <w:lang w:val="en-US"/>
        </w:rPr>
        <w:t>even if the immigration phenomenon has received less media coverage, the idea that immigrants represent a cost rather than a benefit for the state coffers still runs rampant in public opinion</w:t>
      </w:r>
      <w:r w:rsidR="001C2987" w:rsidRPr="00D17995">
        <w:rPr>
          <w:rFonts w:ascii="Tahoma" w:hAnsi="Tahoma" w:cs="Tahoma"/>
          <w:sz w:val="20"/>
          <w:szCs w:val="20"/>
          <w:lang w:val="en-US"/>
        </w:rPr>
        <w:t xml:space="preserve">. </w:t>
      </w:r>
    </w:p>
    <w:p w14:paraId="14D239D3" w14:textId="208D7B6A" w:rsidR="001C2987" w:rsidRPr="00D17995" w:rsidRDefault="00FF401C" w:rsidP="009B4580">
      <w:pPr>
        <w:spacing w:after="0" w:line="240" w:lineRule="auto"/>
        <w:jc w:val="both"/>
        <w:rPr>
          <w:rFonts w:ascii="Tahoma" w:hAnsi="Tahoma" w:cs="Tahoma"/>
          <w:sz w:val="20"/>
          <w:szCs w:val="20"/>
          <w:lang w:val="en-US"/>
        </w:rPr>
      </w:pPr>
      <w:r w:rsidRPr="00D17995">
        <w:rPr>
          <w:rFonts w:ascii="Tahoma" w:hAnsi="Tahoma" w:cs="Tahoma"/>
          <w:sz w:val="20"/>
          <w:szCs w:val="20"/>
          <w:lang w:val="en-US"/>
        </w:rPr>
        <w:t xml:space="preserve">The Ministry of Economy and Finance’s </w:t>
      </w:r>
      <w:r w:rsidR="001C2987" w:rsidRPr="00D17995">
        <w:rPr>
          <w:rFonts w:ascii="Tahoma" w:hAnsi="Tahoma" w:cs="Tahoma"/>
          <w:sz w:val="20"/>
          <w:szCs w:val="20"/>
          <w:lang w:val="en-US"/>
        </w:rPr>
        <w:t xml:space="preserve">(MEF) </w:t>
      </w:r>
      <w:r w:rsidRPr="00D17995">
        <w:rPr>
          <w:rFonts w:ascii="Tahoma" w:hAnsi="Tahoma" w:cs="Tahoma"/>
          <w:sz w:val="20"/>
          <w:szCs w:val="20"/>
          <w:lang w:val="en-US"/>
        </w:rPr>
        <w:t xml:space="preserve">data on 2021 tax return </w:t>
      </w:r>
      <w:r w:rsidR="009B4580" w:rsidRPr="00D17995">
        <w:rPr>
          <w:rFonts w:ascii="Tahoma" w:hAnsi="Tahoma" w:cs="Tahoma"/>
          <w:sz w:val="20"/>
          <w:szCs w:val="20"/>
          <w:lang w:val="en-US"/>
        </w:rPr>
        <w:t>(</w:t>
      </w:r>
      <w:proofErr w:type="spellStart"/>
      <w:r w:rsidRPr="00D17995">
        <w:rPr>
          <w:rFonts w:ascii="Tahoma" w:hAnsi="Tahoma" w:cs="Tahoma"/>
          <w:sz w:val="20"/>
          <w:szCs w:val="20"/>
          <w:lang w:val="en-US"/>
        </w:rPr>
        <w:t>t.y</w:t>
      </w:r>
      <w:proofErr w:type="spellEnd"/>
      <w:r w:rsidRPr="00D17995">
        <w:rPr>
          <w:rFonts w:ascii="Tahoma" w:hAnsi="Tahoma" w:cs="Tahoma"/>
          <w:sz w:val="20"/>
          <w:szCs w:val="20"/>
          <w:lang w:val="en-US"/>
        </w:rPr>
        <w:t>.</w:t>
      </w:r>
      <w:r w:rsidR="009B4580" w:rsidRPr="00D17995">
        <w:rPr>
          <w:rFonts w:ascii="Tahoma" w:hAnsi="Tahoma" w:cs="Tahoma"/>
          <w:sz w:val="20"/>
          <w:szCs w:val="20"/>
          <w:lang w:val="en-US"/>
        </w:rPr>
        <w:t xml:space="preserve"> 2020) </w:t>
      </w:r>
      <w:r w:rsidRPr="00D17995">
        <w:rPr>
          <w:rFonts w:ascii="Tahoma" w:hAnsi="Tahoma" w:cs="Tahoma"/>
          <w:sz w:val="20"/>
          <w:szCs w:val="20"/>
          <w:lang w:val="en-US"/>
        </w:rPr>
        <w:t xml:space="preserve">allow to analyze the impact of immigrants’ component on the total of taxpayers and in this way to quantify the immigration’s tax contribution. </w:t>
      </w:r>
    </w:p>
    <w:p w14:paraId="6001234D" w14:textId="25CE770C" w:rsidR="0052543D" w:rsidRPr="00D17995" w:rsidRDefault="00FF401C" w:rsidP="009B4580">
      <w:pPr>
        <w:spacing w:after="0" w:line="240" w:lineRule="auto"/>
        <w:jc w:val="both"/>
        <w:rPr>
          <w:rFonts w:ascii="Tahoma" w:hAnsi="Tahoma" w:cs="Tahoma"/>
          <w:sz w:val="20"/>
          <w:szCs w:val="20"/>
          <w:lang w:val="en-US"/>
        </w:rPr>
      </w:pPr>
      <w:r w:rsidRPr="00D17995">
        <w:rPr>
          <w:rFonts w:ascii="Tahoma" w:hAnsi="Tahoma" w:cs="Tahoma"/>
          <w:sz w:val="20"/>
          <w:szCs w:val="20"/>
          <w:lang w:val="en-US"/>
        </w:rPr>
        <w:t xml:space="preserve">There are </w:t>
      </w:r>
      <w:r w:rsidR="001C2987" w:rsidRPr="00D17995">
        <w:rPr>
          <w:rFonts w:ascii="Tahoma" w:hAnsi="Tahoma" w:cs="Tahoma"/>
          <w:sz w:val="20"/>
          <w:szCs w:val="20"/>
          <w:lang w:val="en-US"/>
        </w:rPr>
        <w:t>4</w:t>
      </w:r>
      <w:r w:rsidRPr="00D17995">
        <w:rPr>
          <w:rFonts w:ascii="Tahoma" w:hAnsi="Tahoma" w:cs="Tahoma"/>
          <w:sz w:val="20"/>
          <w:szCs w:val="20"/>
          <w:lang w:val="en-US"/>
        </w:rPr>
        <w:t>.</w:t>
      </w:r>
      <w:r w:rsidR="001C2987" w:rsidRPr="00D17995">
        <w:rPr>
          <w:rFonts w:ascii="Tahoma" w:hAnsi="Tahoma" w:cs="Tahoma"/>
          <w:sz w:val="20"/>
          <w:szCs w:val="20"/>
          <w:lang w:val="en-US"/>
        </w:rPr>
        <w:t>17 mi</w:t>
      </w:r>
      <w:r w:rsidRPr="00D17995">
        <w:rPr>
          <w:rFonts w:ascii="Tahoma" w:hAnsi="Tahoma" w:cs="Tahoma"/>
          <w:sz w:val="20"/>
          <w:szCs w:val="20"/>
          <w:lang w:val="en-US"/>
        </w:rPr>
        <w:t>l</w:t>
      </w:r>
      <w:r w:rsidR="001C2987" w:rsidRPr="00D17995">
        <w:rPr>
          <w:rFonts w:ascii="Tahoma" w:hAnsi="Tahoma" w:cs="Tahoma"/>
          <w:sz w:val="20"/>
          <w:szCs w:val="20"/>
          <w:lang w:val="en-US"/>
        </w:rPr>
        <w:t>lion</w:t>
      </w:r>
      <w:r w:rsidRPr="00D17995">
        <w:rPr>
          <w:rFonts w:ascii="Tahoma" w:hAnsi="Tahoma" w:cs="Tahoma"/>
          <w:sz w:val="20"/>
          <w:szCs w:val="20"/>
          <w:lang w:val="en-US"/>
        </w:rPr>
        <w:t xml:space="preserve"> foreign-born taxpayers, with a tax declaration of </w:t>
      </w:r>
      <w:r w:rsidR="001C2987" w:rsidRPr="00D17995">
        <w:rPr>
          <w:rFonts w:ascii="Tahoma" w:hAnsi="Tahoma" w:cs="Tahoma"/>
          <w:sz w:val="20"/>
          <w:szCs w:val="20"/>
          <w:lang w:val="en-US"/>
        </w:rPr>
        <w:t>57</w:t>
      </w:r>
      <w:r w:rsidRPr="00D17995">
        <w:rPr>
          <w:rFonts w:ascii="Tahoma" w:hAnsi="Tahoma" w:cs="Tahoma"/>
          <w:sz w:val="20"/>
          <w:szCs w:val="20"/>
          <w:lang w:val="en-US"/>
        </w:rPr>
        <w:t>.</w:t>
      </w:r>
      <w:r w:rsidR="001C2987" w:rsidRPr="00D17995">
        <w:rPr>
          <w:rFonts w:ascii="Tahoma" w:hAnsi="Tahoma" w:cs="Tahoma"/>
          <w:sz w:val="20"/>
          <w:szCs w:val="20"/>
          <w:lang w:val="en-US"/>
        </w:rPr>
        <w:t xml:space="preserve">5 </w:t>
      </w:r>
      <w:r w:rsidRPr="00D17995">
        <w:rPr>
          <w:rFonts w:ascii="Tahoma" w:hAnsi="Tahoma" w:cs="Tahoma"/>
          <w:sz w:val="20"/>
          <w:szCs w:val="20"/>
          <w:lang w:val="en-US"/>
        </w:rPr>
        <w:t xml:space="preserve">billion </w:t>
      </w:r>
      <w:r w:rsidR="001C2987" w:rsidRPr="00D17995">
        <w:rPr>
          <w:rFonts w:ascii="Tahoma" w:hAnsi="Tahoma" w:cs="Tahoma"/>
          <w:sz w:val="20"/>
          <w:szCs w:val="20"/>
          <w:lang w:val="en-US"/>
        </w:rPr>
        <w:t>euro</w:t>
      </w:r>
      <w:r w:rsidRPr="00D17995">
        <w:rPr>
          <w:rFonts w:ascii="Tahoma" w:hAnsi="Tahoma" w:cs="Tahoma"/>
          <w:sz w:val="20"/>
          <w:szCs w:val="20"/>
          <w:lang w:val="en-US"/>
        </w:rPr>
        <w:t>s and paid</w:t>
      </w:r>
      <w:r w:rsidR="00242706" w:rsidRPr="00D17995">
        <w:rPr>
          <w:rFonts w:ascii="Tahoma" w:hAnsi="Tahoma" w:cs="Tahoma"/>
          <w:sz w:val="20"/>
          <w:szCs w:val="20"/>
          <w:lang w:val="en-US"/>
        </w:rPr>
        <w:t xml:space="preserve"> </w:t>
      </w:r>
      <w:proofErr w:type="spellStart"/>
      <w:r w:rsidR="00242706" w:rsidRPr="00D17995">
        <w:rPr>
          <w:rFonts w:ascii="Tahoma" w:hAnsi="Tahoma" w:cs="Tahoma"/>
          <w:sz w:val="20"/>
          <w:szCs w:val="20"/>
          <w:lang w:val="en-US"/>
        </w:rPr>
        <w:t>Irpef</w:t>
      </w:r>
      <w:proofErr w:type="spellEnd"/>
      <w:r w:rsidR="00242706" w:rsidRPr="00D17995">
        <w:rPr>
          <w:rFonts w:ascii="Tahoma" w:hAnsi="Tahoma" w:cs="Tahoma"/>
          <w:sz w:val="20"/>
          <w:szCs w:val="20"/>
          <w:lang w:val="en-US"/>
        </w:rPr>
        <w:t xml:space="preserve"> amounting to</w:t>
      </w:r>
      <w:r w:rsidRPr="00D17995">
        <w:rPr>
          <w:rFonts w:ascii="Tahoma" w:hAnsi="Tahoma" w:cs="Tahoma"/>
          <w:sz w:val="20"/>
          <w:szCs w:val="20"/>
          <w:lang w:val="en-US"/>
        </w:rPr>
        <w:t xml:space="preserve"> </w:t>
      </w:r>
      <w:r w:rsidR="001C2987" w:rsidRPr="00D17995">
        <w:rPr>
          <w:rFonts w:ascii="Tahoma" w:hAnsi="Tahoma" w:cs="Tahoma"/>
          <w:sz w:val="20"/>
          <w:szCs w:val="20"/>
          <w:lang w:val="en-US"/>
        </w:rPr>
        <w:t>8</w:t>
      </w:r>
      <w:r w:rsidRPr="00D17995">
        <w:rPr>
          <w:rFonts w:ascii="Tahoma" w:hAnsi="Tahoma" w:cs="Tahoma"/>
          <w:sz w:val="20"/>
          <w:szCs w:val="20"/>
          <w:lang w:val="en-US"/>
        </w:rPr>
        <w:t>.</w:t>
      </w:r>
      <w:r w:rsidR="001C2987" w:rsidRPr="00D17995">
        <w:rPr>
          <w:rFonts w:ascii="Tahoma" w:hAnsi="Tahoma" w:cs="Tahoma"/>
          <w:sz w:val="20"/>
          <w:szCs w:val="20"/>
          <w:lang w:val="en-US"/>
        </w:rPr>
        <w:t xml:space="preserve">2 </w:t>
      </w:r>
      <w:r w:rsidRPr="00D17995">
        <w:rPr>
          <w:rFonts w:ascii="Tahoma" w:hAnsi="Tahoma" w:cs="Tahoma"/>
          <w:sz w:val="20"/>
          <w:szCs w:val="20"/>
          <w:lang w:val="en-US"/>
        </w:rPr>
        <w:t>billion euros</w:t>
      </w:r>
      <w:r w:rsidR="00242706" w:rsidRPr="00D17995">
        <w:rPr>
          <w:rFonts w:ascii="Tahoma" w:hAnsi="Tahoma" w:cs="Tahoma"/>
          <w:sz w:val="20"/>
          <w:szCs w:val="20"/>
          <w:lang w:val="en-US"/>
        </w:rPr>
        <w:t>. The t</w:t>
      </w:r>
      <w:r w:rsidR="006270A4" w:rsidRPr="00D17995">
        <w:rPr>
          <w:rFonts w:ascii="Tahoma" w:hAnsi="Tahoma" w:cs="Tahoma"/>
          <w:sz w:val="20"/>
          <w:szCs w:val="20"/>
          <w:lang w:val="en-US"/>
        </w:rPr>
        <w:t>ime series</w:t>
      </w:r>
      <w:r w:rsidR="00242706" w:rsidRPr="00D17995">
        <w:rPr>
          <w:rFonts w:ascii="Tahoma" w:hAnsi="Tahoma" w:cs="Tahoma"/>
          <w:sz w:val="20"/>
          <w:szCs w:val="20"/>
          <w:lang w:val="en-US"/>
        </w:rPr>
        <w:t xml:space="preserve"> analysis promptly </w:t>
      </w:r>
      <w:r w:rsidR="006270A4" w:rsidRPr="00D17995">
        <w:rPr>
          <w:rFonts w:ascii="Tahoma" w:hAnsi="Tahoma" w:cs="Tahoma"/>
          <w:sz w:val="20"/>
          <w:szCs w:val="20"/>
          <w:lang w:val="en-US"/>
        </w:rPr>
        <w:t>underscores the impact of</w:t>
      </w:r>
      <w:r w:rsidR="003B5D68" w:rsidRPr="00D17995">
        <w:rPr>
          <w:rFonts w:ascii="Tahoma" w:hAnsi="Tahoma" w:cs="Tahoma"/>
          <w:sz w:val="20"/>
          <w:szCs w:val="20"/>
          <w:lang w:val="en-US"/>
        </w:rPr>
        <w:t xml:space="preserve"> the</w:t>
      </w:r>
      <w:r w:rsidR="006270A4" w:rsidRPr="00D17995">
        <w:rPr>
          <w:rFonts w:ascii="Tahoma" w:hAnsi="Tahoma" w:cs="Tahoma"/>
          <w:sz w:val="20"/>
          <w:szCs w:val="20"/>
          <w:lang w:val="en-US"/>
        </w:rPr>
        <w:t xml:space="preserve"> </w:t>
      </w:r>
      <w:r w:rsidR="001C2987" w:rsidRPr="00D17995">
        <w:rPr>
          <w:rFonts w:ascii="Tahoma" w:hAnsi="Tahoma" w:cs="Tahoma"/>
          <w:sz w:val="20"/>
          <w:szCs w:val="20"/>
          <w:lang w:val="en-US"/>
        </w:rPr>
        <w:t>COVID-19</w:t>
      </w:r>
      <w:r w:rsidR="006270A4" w:rsidRPr="00D17995">
        <w:rPr>
          <w:rFonts w:ascii="Tahoma" w:hAnsi="Tahoma" w:cs="Tahoma"/>
          <w:sz w:val="20"/>
          <w:szCs w:val="20"/>
          <w:lang w:val="en-US"/>
        </w:rPr>
        <w:t xml:space="preserve"> emergency</w:t>
      </w:r>
      <w:r w:rsidR="001C2987" w:rsidRPr="00D17995">
        <w:rPr>
          <w:rFonts w:ascii="Tahoma" w:hAnsi="Tahoma" w:cs="Tahoma"/>
          <w:sz w:val="20"/>
          <w:szCs w:val="20"/>
          <w:lang w:val="en-US"/>
        </w:rPr>
        <w:t xml:space="preserve">: </w:t>
      </w:r>
      <w:r w:rsidR="006270A4" w:rsidRPr="00D17995">
        <w:rPr>
          <w:rFonts w:ascii="Tahoma" w:hAnsi="Tahoma" w:cs="Tahoma"/>
          <w:sz w:val="20"/>
          <w:szCs w:val="20"/>
          <w:lang w:val="en-US"/>
        </w:rPr>
        <w:t>in</w:t>
      </w:r>
      <w:r w:rsidR="001C2987" w:rsidRPr="00D17995">
        <w:rPr>
          <w:rFonts w:ascii="Tahoma" w:hAnsi="Tahoma" w:cs="Tahoma"/>
          <w:sz w:val="20"/>
          <w:szCs w:val="20"/>
          <w:lang w:val="en-US"/>
        </w:rPr>
        <w:t xml:space="preserve"> 2020, </w:t>
      </w:r>
      <w:r w:rsidR="006270A4" w:rsidRPr="00D17995">
        <w:rPr>
          <w:rFonts w:ascii="Tahoma" w:hAnsi="Tahoma" w:cs="Tahoma"/>
          <w:sz w:val="20"/>
          <w:szCs w:val="20"/>
          <w:lang w:val="en-US"/>
        </w:rPr>
        <w:t>for the first time, the figure of foreign-born contributors decrease</w:t>
      </w:r>
      <w:r w:rsidR="00242706" w:rsidRPr="00D17995">
        <w:rPr>
          <w:rFonts w:ascii="Tahoma" w:hAnsi="Tahoma" w:cs="Tahoma"/>
          <w:sz w:val="20"/>
          <w:szCs w:val="20"/>
          <w:lang w:val="en-US"/>
        </w:rPr>
        <w:t>d</w:t>
      </w:r>
      <w:r w:rsidR="006270A4" w:rsidRPr="00D17995">
        <w:rPr>
          <w:rFonts w:ascii="Tahoma" w:hAnsi="Tahoma" w:cs="Tahoma"/>
          <w:sz w:val="20"/>
          <w:szCs w:val="20"/>
          <w:lang w:val="en-US"/>
        </w:rPr>
        <w:t xml:space="preserve"> </w:t>
      </w:r>
      <w:r w:rsidR="001C2987" w:rsidRPr="00D17995">
        <w:rPr>
          <w:rFonts w:ascii="Tahoma" w:hAnsi="Tahoma" w:cs="Tahoma"/>
          <w:sz w:val="20"/>
          <w:szCs w:val="20"/>
          <w:lang w:val="en-US"/>
        </w:rPr>
        <w:t>(-1</w:t>
      </w:r>
      <w:r w:rsidR="006270A4" w:rsidRPr="00D17995">
        <w:rPr>
          <w:rFonts w:ascii="Tahoma" w:hAnsi="Tahoma" w:cs="Tahoma"/>
          <w:sz w:val="20"/>
          <w:szCs w:val="20"/>
          <w:lang w:val="en-US"/>
        </w:rPr>
        <w:t>.</w:t>
      </w:r>
      <w:r w:rsidR="001C2987" w:rsidRPr="00D17995">
        <w:rPr>
          <w:rFonts w:ascii="Tahoma" w:hAnsi="Tahoma" w:cs="Tahoma"/>
          <w:sz w:val="20"/>
          <w:szCs w:val="20"/>
          <w:lang w:val="en-US"/>
        </w:rPr>
        <w:t>8%)</w:t>
      </w:r>
      <w:r w:rsidR="009B4580" w:rsidRPr="00D17995">
        <w:rPr>
          <w:rFonts w:ascii="Tahoma" w:hAnsi="Tahoma" w:cs="Tahoma"/>
          <w:sz w:val="20"/>
          <w:szCs w:val="20"/>
          <w:lang w:val="en-US"/>
        </w:rPr>
        <w:t xml:space="preserve">, </w:t>
      </w:r>
      <w:r w:rsidR="006270A4" w:rsidRPr="00D17995">
        <w:rPr>
          <w:rFonts w:ascii="Tahoma" w:hAnsi="Tahoma" w:cs="Tahoma"/>
          <w:sz w:val="20"/>
          <w:szCs w:val="20"/>
          <w:lang w:val="en-US"/>
        </w:rPr>
        <w:t xml:space="preserve">as well as the volume of tax return </w:t>
      </w:r>
      <w:r w:rsidR="001C2987" w:rsidRPr="00D17995">
        <w:rPr>
          <w:rFonts w:ascii="Tahoma" w:hAnsi="Tahoma" w:cs="Tahoma"/>
          <w:sz w:val="20"/>
          <w:szCs w:val="20"/>
          <w:lang w:val="en-US"/>
        </w:rPr>
        <w:t>(-4</w:t>
      </w:r>
      <w:r w:rsidR="006270A4" w:rsidRPr="00D17995">
        <w:rPr>
          <w:rFonts w:ascii="Tahoma" w:hAnsi="Tahoma" w:cs="Tahoma"/>
          <w:sz w:val="20"/>
          <w:szCs w:val="20"/>
          <w:lang w:val="en-US"/>
        </w:rPr>
        <w:t>.</w:t>
      </w:r>
      <w:r w:rsidR="001C2987" w:rsidRPr="00D17995">
        <w:rPr>
          <w:rFonts w:ascii="Tahoma" w:hAnsi="Tahoma" w:cs="Tahoma"/>
          <w:sz w:val="20"/>
          <w:szCs w:val="20"/>
          <w:lang w:val="en-US"/>
        </w:rPr>
        <w:t xml:space="preserve">3%) </w:t>
      </w:r>
      <w:r w:rsidR="006270A4" w:rsidRPr="00D17995">
        <w:rPr>
          <w:rFonts w:ascii="Tahoma" w:hAnsi="Tahoma" w:cs="Tahoma"/>
          <w:sz w:val="20"/>
          <w:szCs w:val="20"/>
          <w:lang w:val="en-US"/>
        </w:rPr>
        <w:t xml:space="preserve">and that of paid </w:t>
      </w:r>
      <w:proofErr w:type="spellStart"/>
      <w:r w:rsidR="001C2987" w:rsidRPr="00D17995">
        <w:rPr>
          <w:rFonts w:ascii="Tahoma" w:hAnsi="Tahoma" w:cs="Tahoma"/>
          <w:sz w:val="20"/>
          <w:szCs w:val="20"/>
          <w:lang w:val="en-US"/>
        </w:rPr>
        <w:t>Irpef</w:t>
      </w:r>
      <w:proofErr w:type="spellEnd"/>
      <w:r w:rsidR="001C2987" w:rsidRPr="00D17995">
        <w:rPr>
          <w:rFonts w:ascii="Tahoma" w:hAnsi="Tahoma" w:cs="Tahoma"/>
          <w:sz w:val="20"/>
          <w:szCs w:val="20"/>
          <w:lang w:val="en-US"/>
        </w:rPr>
        <w:t xml:space="preserve"> (-8</w:t>
      </w:r>
      <w:r w:rsidR="006270A4" w:rsidRPr="00D17995">
        <w:rPr>
          <w:rFonts w:ascii="Tahoma" w:hAnsi="Tahoma" w:cs="Tahoma"/>
          <w:sz w:val="20"/>
          <w:szCs w:val="20"/>
          <w:lang w:val="en-US"/>
        </w:rPr>
        <w:t>.</w:t>
      </w:r>
      <w:r w:rsidR="001C2987" w:rsidRPr="00D17995">
        <w:rPr>
          <w:rFonts w:ascii="Tahoma" w:hAnsi="Tahoma" w:cs="Tahoma"/>
          <w:sz w:val="20"/>
          <w:szCs w:val="20"/>
          <w:lang w:val="en-US"/>
        </w:rPr>
        <w:t>5%).</w:t>
      </w:r>
    </w:p>
    <w:p w14:paraId="26B41E09" w14:textId="77777777" w:rsidR="009B4580" w:rsidRPr="00D17995" w:rsidRDefault="009B4580" w:rsidP="009B4580">
      <w:pPr>
        <w:spacing w:after="0" w:line="240" w:lineRule="auto"/>
        <w:jc w:val="both"/>
        <w:rPr>
          <w:rFonts w:ascii="Tahoma" w:hAnsi="Tahoma" w:cs="Tahoma"/>
          <w:sz w:val="20"/>
          <w:szCs w:val="20"/>
          <w:lang w:val="en-US"/>
        </w:rPr>
      </w:pPr>
    </w:p>
    <w:p w14:paraId="66F109AC" w14:textId="313A67EC" w:rsidR="009B4580" w:rsidRPr="00D17995" w:rsidRDefault="006270A4" w:rsidP="009B4580">
      <w:pPr>
        <w:spacing w:after="0" w:line="240" w:lineRule="auto"/>
        <w:jc w:val="both"/>
        <w:rPr>
          <w:rFonts w:ascii="Tahoma" w:hAnsi="Tahoma" w:cs="Tahoma"/>
          <w:sz w:val="20"/>
          <w:szCs w:val="20"/>
          <w:lang w:val="en-US"/>
        </w:rPr>
      </w:pPr>
      <w:r w:rsidRPr="00D17995">
        <w:rPr>
          <w:rFonts w:ascii="Tahoma" w:hAnsi="Tahoma" w:cs="Tahoma"/>
          <w:sz w:val="20"/>
          <w:szCs w:val="20"/>
          <w:lang w:val="en-US"/>
        </w:rPr>
        <w:t xml:space="preserve">Among foreign-born taxpayers, almost half of them </w:t>
      </w:r>
      <w:r w:rsidR="009B4580" w:rsidRPr="00D17995">
        <w:rPr>
          <w:rFonts w:ascii="Tahoma" w:hAnsi="Tahoma" w:cs="Tahoma"/>
          <w:sz w:val="20"/>
          <w:szCs w:val="20"/>
          <w:lang w:val="en-US"/>
        </w:rPr>
        <w:t>(48</w:t>
      </w:r>
      <w:r w:rsidRPr="00D17995">
        <w:rPr>
          <w:rFonts w:ascii="Tahoma" w:hAnsi="Tahoma" w:cs="Tahoma"/>
          <w:sz w:val="20"/>
          <w:szCs w:val="20"/>
          <w:lang w:val="en-US"/>
        </w:rPr>
        <w:t>.</w:t>
      </w:r>
      <w:r w:rsidR="009B4580" w:rsidRPr="00D17995">
        <w:rPr>
          <w:rFonts w:ascii="Tahoma" w:hAnsi="Tahoma" w:cs="Tahoma"/>
          <w:sz w:val="20"/>
          <w:szCs w:val="20"/>
          <w:lang w:val="en-US"/>
        </w:rPr>
        <w:t xml:space="preserve">7%) </w:t>
      </w:r>
      <w:r w:rsidRPr="00D17995">
        <w:rPr>
          <w:rFonts w:ascii="Tahoma" w:hAnsi="Tahoma" w:cs="Tahoma"/>
          <w:sz w:val="20"/>
          <w:szCs w:val="20"/>
          <w:lang w:val="en-US"/>
        </w:rPr>
        <w:t>ha</w:t>
      </w:r>
      <w:r w:rsidR="003B5D68" w:rsidRPr="00D17995">
        <w:rPr>
          <w:rFonts w:ascii="Tahoma" w:hAnsi="Tahoma" w:cs="Tahoma"/>
          <w:sz w:val="20"/>
          <w:szCs w:val="20"/>
          <w:lang w:val="en-US"/>
        </w:rPr>
        <w:t>ve</w:t>
      </w:r>
      <w:r w:rsidRPr="00D17995">
        <w:rPr>
          <w:rFonts w:ascii="Tahoma" w:hAnsi="Tahoma" w:cs="Tahoma"/>
          <w:sz w:val="20"/>
          <w:szCs w:val="20"/>
          <w:lang w:val="en-US"/>
        </w:rPr>
        <w:t xml:space="preserve"> declared to have a</w:t>
      </w:r>
      <w:r w:rsidR="00242706" w:rsidRPr="00D17995">
        <w:rPr>
          <w:rFonts w:ascii="Tahoma" w:hAnsi="Tahoma" w:cs="Tahoma"/>
          <w:sz w:val="20"/>
          <w:szCs w:val="20"/>
          <w:lang w:val="en-US"/>
        </w:rPr>
        <w:t xml:space="preserve">n annual income of less than </w:t>
      </w:r>
      <w:r w:rsidRPr="00D17995">
        <w:rPr>
          <w:rFonts w:ascii="Tahoma" w:hAnsi="Tahoma" w:cs="Tahoma"/>
          <w:sz w:val="20"/>
          <w:szCs w:val="20"/>
          <w:lang w:val="en-US"/>
        </w:rPr>
        <w:t xml:space="preserve">10 thousand euros. Among the Italian-born contributors, the class of those with such an income </w:t>
      </w:r>
      <w:r w:rsidR="003B5D68" w:rsidRPr="00D17995">
        <w:rPr>
          <w:rFonts w:ascii="Tahoma" w:hAnsi="Tahoma" w:cs="Tahoma"/>
          <w:sz w:val="20"/>
          <w:szCs w:val="20"/>
          <w:lang w:val="en-US"/>
        </w:rPr>
        <w:t>is</w:t>
      </w:r>
      <w:r w:rsidRPr="00D17995">
        <w:rPr>
          <w:rFonts w:ascii="Tahoma" w:hAnsi="Tahoma" w:cs="Tahoma"/>
          <w:sz w:val="20"/>
          <w:szCs w:val="20"/>
          <w:lang w:val="en-US"/>
        </w:rPr>
        <w:t xml:space="preserve"> only </w:t>
      </w:r>
      <w:r w:rsidR="009B4580" w:rsidRPr="00D17995">
        <w:rPr>
          <w:rFonts w:ascii="Tahoma" w:hAnsi="Tahoma" w:cs="Tahoma"/>
          <w:sz w:val="20"/>
          <w:szCs w:val="20"/>
          <w:lang w:val="en-US"/>
        </w:rPr>
        <w:t>29</w:t>
      </w:r>
      <w:r w:rsidRPr="00D17995">
        <w:rPr>
          <w:rFonts w:ascii="Tahoma" w:hAnsi="Tahoma" w:cs="Tahoma"/>
          <w:sz w:val="20"/>
          <w:szCs w:val="20"/>
          <w:lang w:val="en-US"/>
        </w:rPr>
        <w:t>.</w:t>
      </w:r>
      <w:r w:rsidR="009B4580" w:rsidRPr="00D17995">
        <w:rPr>
          <w:rFonts w:ascii="Tahoma" w:hAnsi="Tahoma" w:cs="Tahoma"/>
          <w:sz w:val="20"/>
          <w:szCs w:val="20"/>
          <w:lang w:val="en-US"/>
        </w:rPr>
        <w:t>5%</w:t>
      </w:r>
      <w:r w:rsidRPr="00D17995">
        <w:rPr>
          <w:rFonts w:ascii="Tahoma" w:hAnsi="Tahoma" w:cs="Tahoma"/>
          <w:sz w:val="20"/>
          <w:szCs w:val="20"/>
          <w:lang w:val="en-US"/>
        </w:rPr>
        <w:t xml:space="preserve"> of the total taxpayers. Altogether, foreign-born contributors represent </w:t>
      </w:r>
      <w:r w:rsidR="009B4580" w:rsidRPr="00D17995">
        <w:rPr>
          <w:rFonts w:ascii="Tahoma" w:hAnsi="Tahoma" w:cs="Tahoma"/>
          <w:sz w:val="20"/>
          <w:szCs w:val="20"/>
          <w:lang w:val="en-US"/>
        </w:rPr>
        <w:t>10</w:t>
      </w:r>
      <w:r w:rsidRPr="00D17995">
        <w:rPr>
          <w:rFonts w:ascii="Tahoma" w:hAnsi="Tahoma" w:cs="Tahoma"/>
          <w:sz w:val="20"/>
          <w:szCs w:val="20"/>
          <w:lang w:val="en-US"/>
        </w:rPr>
        <w:t>.</w:t>
      </w:r>
      <w:r w:rsidR="009B4580" w:rsidRPr="00D17995">
        <w:rPr>
          <w:rFonts w:ascii="Tahoma" w:hAnsi="Tahoma" w:cs="Tahoma"/>
          <w:sz w:val="20"/>
          <w:szCs w:val="20"/>
          <w:lang w:val="en-US"/>
        </w:rPr>
        <w:t xml:space="preserve">1% </w:t>
      </w:r>
      <w:r w:rsidRPr="00D17995">
        <w:rPr>
          <w:rFonts w:ascii="Tahoma" w:hAnsi="Tahoma" w:cs="Tahoma"/>
          <w:sz w:val="20"/>
          <w:szCs w:val="20"/>
          <w:lang w:val="en-US"/>
        </w:rPr>
        <w:t xml:space="preserve">of the total, </w:t>
      </w:r>
      <w:r w:rsidR="003B5D68" w:rsidRPr="00D17995">
        <w:rPr>
          <w:rFonts w:ascii="Tahoma" w:hAnsi="Tahoma" w:cs="Tahoma"/>
          <w:sz w:val="20"/>
          <w:szCs w:val="20"/>
          <w:lang w:val="en-US"/>
        </w:rPr>
        <w:t>displaying</w:t>
      </w:r>
      <w:r w:rsidRPr="00D17995">
        <w:rPr>
          <w:rFonts w:ascii="Tahoma" w:hAnsi="Tahoma" w:cs="Tahoma"/>
          <w:sz w:val="20"/>
          <w:szCs w:val="20"/>
          <w:lang w:val="en-US"/>
        </w:rPr>
        <w:t xml:space="preserve"> an incidence varying from </w:t>
      </w:r>
      <w:r w:rsidR="009B4580" w:rsidRPr="00D17995">
        <w:rPr>
          <w:rFonts w:ascii="Tahoma" w:hAnsi="Tahoma" w:cs="Tahoma"/>
          <w:sz w:val="20"/>
          <w:szCs w:val="20"/>
          <w:lang w:val="en-US"/>
        </w:rPr>
        <w:t>3</w:t>
      </w:r>
      <w:r w:rsidRPr="00D17995">
        <w:rPr>
          <w:rFonts w:ascii="Tahoma" w:hAnsi="Tahoma" w:cs="Tahoma"/>
          <w:sz w:val="20"/>
          <w:szCs w:val="20"/>
          <w:lang w:val="en-US"/>
        </w:rPr>
        <w:t>.</w:t>
      </w:r>
      <w:r w:rsidR="009B4580" w:rsidRPr="00D17995">
        <w:rPr>
          <w:rFonts w:ascii="Tahoma" w:hAnsi="Tahoma" w:cs="Tahoma"/>
          <w:sz w:val="20"/>
          <w:szCs w:val="20"/>
          <w:lang w:val="en-US"/>
        </w:rPr>
        <w:t xml:space="preserve">3% </w:t>
      </w:r>
      <w:r w:rsidR="00242706" w:rsidRPr="00D17995">
        <w:rPr>
          <w:rFonts w:ascii="Tahoma" w:hAnsi="Tahoma" w:cs="Tahoma"/>
          <w:sz w:val="20"/>
          <w:szCs w:val="20"/>
          <w:lang w:val="en-US"/>
        </w:rPr>
        <w:t>for those with</w:t>
      </w:r>
      <w:r w:rsidRPr="00D17995">
        <w:rPr>
          <w:rFonts w:ascii="Tahoma" w:hAnsi="Tahoma" w:cs="Tahoma"/>
          <w:sz w:val="20"/>
          <w:szCs w:val="20"/>
          <w:lang w:val="en-US"/>
        </w:rPr>
        <w:t xml:space="preserve"> an income range over </w:t>
      </w:r>
      <w:r w:rsidR="009B4580" w:rsidRPr="00D17995">
        <w:rPr>
          <w:rFonts w:ascii="Tahoma" w:hAnsi="Tahoma" w:cs="Tahoma"/>
          <w:sz w:val="20"/>
          <w:szCs w:val="20"/>
          <w:lang w:val="en-US"/>
        </w:rPr>
        <w:t xml:space="preserve">50 </w:t>
      </w:r>
      <w:r w:rsidRPr="00D17995">
        <w:rPr>
          <w:rFonts w:ascii="Tahoma" w:hAnsi="Tahoma" w:cs="Tahoma"/>
          <w:sz w:val="20"/>
          <w:szCs w:val="20"/>
          <w:lang w:val="en-US"/>
        </w:rPr>
        <w:t xml:space="preserve">thousand euros to </w:t>
      </w:r>
      <w:r w:rsidR="009B4580" w:rsidRPr="00D17995">
        <w:rPr>
          <w:rFonts w:ascii="Tahoma" w:hAnsi="Tahoma" w:cs="Tahoma"/>
          <w:sz w:val="20"/>
          <w:szCs w:val="20"/>
          <w:lang w:val="en-US"/>
        </w:rPr>
        <w:t>15</w:t>
      </w:r>
      <w:r w:rsidRPr="00D17995">
        <w:rPr>
          <w:rFonts w:ascii="Tahoma" w:hAnsi="Tahoma" w:cs="Tahoma"/>
          <w:sz w:val="20"/>
          <w:szCs w:val="20"/>
          <w:lang w:val="en-US"/>
        </w:rPr>
        <w:t>.</w:t>
      </w:r>
      <w:r w:rsidR="009B4580" w:rsidRPr="00D17995">
        <w:rPr>
          <w:rFonts w:ascii="Tahoma" w:hAnsi="Tahoma" w:cs="Tahoma"/>
          <w:sz w:val="20"/>
          <w:szCs w:val="20"/>
          <w:lang w:val="en-US"/>
        </w:rPr>
        <w:t xml:space="preserve">7% </w:t>
      </w:r>
      <w:r w:rsidRPr="00D17995">
        <w:rPr>
          <w:rFonts w:ascii="Tahoma" w:hAnsi="Tahoma" w:cs="Tahoma"/>
          <w:sz w:val="20"/>
          <w:szCs w:val="20"/>
          <w:lang w:val="en-US"/>
        </w:rPr>
        <w:t xml:space="preserve">for those </w:t>
      </w:r>
      <w:r w:rsidR="003B5D68" w:rsidRPr="00D17995">
        <w:rPr>
          <w:rFonts w:ascii="Tahoma" w:hAnsi="Tahoma" w:cs="Tahoma"/>
          <w:sz w:val="20"/>
          <w:szCs w:val="20"/>
          <w:lang w:val="en-US"/>
        </w:rPr>
        <w:t>with less than</w:t>
      </w:r>
      <w:r w:rsidRPr="00D17995">
        <w:rPr>
          <w:rFonts w:ascii="Tahoma" w:hAnsi="Tahoma" w:cs="Tahoma"/>
          <w:sz w:val="20"/>
          <w:szCs w:val="20"/>
          <w:lang w:val="en-US"/>
        </w:rPr>
        <w:t xml:space="preserve"> 10 thousand euros. </w:t>
      </w:r>
    </w:p>
    <w:p w14:paraId="480CF37C" w14:textId="77777777" w:rsidR="009B4580" w:rsidRPr="00D17995" w:rsidRDefault="009B4580" w:rsidP="009B4580">
      <w:pPr>
        <w:spacing w:after="0" w:line="240" w:lineRule="auto"/>
        <w:jc w:val="both"/>
        <w:rPr>
          <w:rFonts w:ascii="Tahoma" w:hAnsi="Tahoma" w:cs="Tahoma"/>
          <w:sz w:val="20"/>
          <w:szCs w:val="20"/>
          <w:lang w:val="en-US"/>
        </w:rPr>
      </w:pPr>
    </w:p>
    <w:p w14:paraId="33E5BA62" w14:textId="0E742981" w:rsidR="00F30649" w:rsidRPr="00D17995" w:rsidRDefault="006270A4" w:rsidP="00F30649">
      <w:pPr>
        <w:spacing w:after="0" w:line="240" w:lineRule="auto"/>
        <w:jc w:val="both"/>
        <w:rPr>
          <w:rFonts w:ascii="Tahoma" w:hAnsi="Tahoma" w:cs="Tahoma"/>
          <w:sz w:val="20"/>
          <w:szCs w:val="20"/>
          <w:lang w:val="en-US"/>
        </w:rPr>
      </w:pPr>
      <w:r w:rsidRPr="00D17995">
        <w:rPr>
          <w:rFonts w:ascii="Tahoma" w:hAnsi="Tahoma" w:cs="Tahoma"/>
          <w:sz w:val="20"/>
          <w:szCs w:val="20"/>
          <w:lang w:val="en-US"/>
        </w:rPr>
        <w:lastRenderedPageBreak/>
        <w:t>By comparing revenues and expenditures for public finances (respectively, taxes and contribut</w:t>
      </w:r>
      <w:r w:rsidR="003B5D68" w:rsidRPr="00D17995">
        <w:rPr>
          <w:rFonts w:ascii="Tahoma" w:hAnsi="Tahoma" w:cs="Tahoma"/>
          <w:sz w:val="20"/>
          <w:szCs w:val="20"/>
          <w:lang w:val="en-US"/>
        </w:rPr>
        <w:t>ions</w:t>
      </w:r>
      <w:r w:rsidRPr="00D17995">
        <w:rPr>
          <w:rFonts w:ascii="Tahoma" w:hAnsi="Tahoma" w:cs="Tahoma"/>
          <w:sz w:val="20"/>
          <w:szCs w:val="20"/>
          <w:lang w:val="en-US"/>
        </w:rPr>
        <w:t xml:space="preserve"> on the one side, and welfare services on the other), in</w:t>
      </w:r>
      <w:r w:rsidR="00F30649" w:rsidRPr="00D17995">
        <w:rPr>
          <w:rFonts w:ascii="Tahoma" w:hAnsi="Tahoma" w:cs="Tahoma"/>
          <w:sz w:val="20"/>
          <w:szCs w:val="20"/>
          <w:lang w:val="en-US"/>
        </w:rPr>
        <w:t xml:space="preserve"> 2021 (</w:t>
      </w:r>
      <w:r w:rsidRPr="00D17995">
        <w:rPr>
          <w:rFonts w:ascii="Tahoma" w:hAnsi="Tahoma" w:cs="Tahoma"/>
          <w:sz w:val="20"/>
          <w:szCs w:val="20"/>
          <w:lang w:val="en-US"/>
        </w:rPr>
        <w:t xml:space="preserve">tax year </w:t>
      </w:r>
      <w:r w:rsidR="00F30649" w:rsidRPr="00D17995">
        <w:rPr>
          <w:rFonts w:ascii="Tahoma" w:hAnsi="Tahoma" w:cs="Tahoma"/>
          <w:sz w:val="20"/>
          <w:szCs w:val="20"/>
          <w:lang w:val="en-US"/>
        </w:rPr>
        <w:t>2020)</w:t>
      </w:r>
      <w:r w:rsidR="003B5D68" w:rsidRPr="00D17995">
        <w:rPr>
          <w:rFonts w:ascii="Tahoma" w:hAnsi="Tahoma" w:cs="Tahoma"/>
          <w:sz w:val="20"/>
          <w:szCs w:val="20"/>
          <w:lang w:val="en-US"/>
        </w:rPr>
        <w:t>,</w:t>
      </w:r>
      <w:r w:rsidR="00F30649" w:rsidRPr="00D17995">
        <w:rPr>
          <w:rFonts w:ascii="Tahoma" w:hAnsi="Tahoma" w:cs="Tahoma"/>
          <w:sz w:val="20"/>
          <w:szCs w:val="20"/>
          <w:lang w:val="en-US"/>
        </w:rPr>
        <w:t xml:space="preserve"> </w:t>
      </w:r>
      <w:r w:rsidR="00B12D9E" w:rsidRPr="00D17995">
        <w:rPr>
          <w:rFonts w:ascii="Tahoma" w:hAnsi="Tahoma" w:cs="Tahoma"/>
          <w:sz w:val="20"/>
          <w:szCs w:val="20"/>
          <w:lang w:val="en-US"/>
        </w:rPr>
        <w:t xml:space="preserve">the overall balance has further increased </w:t>
      </w:r>
      <w:r w:rsidR="00F30649" w:rsidRPr="00D17995">
        <w:rPr>
          <w:rFonts w:ascii="Tahoma" w:hAnsi="Tahoma" w:cs="Tahoma"/>
          <w:sz w:val="20"/>
          <w:szCs w:val="20"/>
          <w:lang w:val="en-US"/>
        </w:rPr>
        <w:t>(+1</w:t>
      </w:r>
      <w:r w:rsidR="00B12D9E" w:rsidRPr="00D17995">
        <w:rPr>
          <w:rFonts w:ascii="Tahoma" w:hAnsi="Tahoma" w:cs="Tahoma"/>
          <w:sz w:val="20"/>
          <w:szCs w:val="20"/>
          <w:lang w:val="en-US"/>
        </w:rPr>
        <w:t>.</w:t>
      </w:r>
      <w:r w:rsidR="00F30649" w:rsidRPr="00D17995">
        <w:rPr>
          <w:rFonts w:ascii="Tahoma" w:hAnsi="Tahoma" w:cs="Tahoma"/>
          <w:sz w:val="20"/>
          <w:szCs w:val="20"/>
          <w:lang w:val="en-US"/>
        </w:rPr>
        <w:t xml:space="preserve">4 </w:t>
      </w:r>
      <w:r w:rsidR="00B12D9E" w:rsidRPr="00D17995">
        <w:rPr>
          <w:rFonts w:ascii="Tahoma" w:hAnsi="Tahoma" w:cs="Tahoma"/>
          <w:sz w:val="20"/>
          <w:szCs w:val="20"/>
          <w:lang w:val="en-US"/>
        </w:rPr>
        <w:t>billion</w:t>
      </w:r>
      <w:r w:rsidR="00F30649" w:rsidRPr="00D17995">
        <w:rPr>
          <w:rFonts w:ascii="Tahoma" w:hAnsi="Tahoma" w:cs="Tahoma"/>
          <w:sz w:val="20"/>
          <w:szCs w:val="20"/>
          <w:lang w:val="en-US"/>
        </w:rPr>
        <w:t xml:space="preserve">). </w:t>
      </w:r>
      <w:r w:rsidR="00B12D9E" w:rsidRPr="00D17995">
        <w:rPr>
          <w:rFonts w:ascii="Tahoma" w:hAnsi="Tahoma" w:cs="Tahoma"/>
          <w:sz w:val="20"/>
          <w:szCs w:val="20"/>
          <w:lang w:val="en-US"/>
        </w:rPr>
        <w:t xml:space="preserve">Although foreign-born taxpayers’ declarations have declined, the expenditure </w:t>
      </w:r>
      <w:r w:rsidR="003B5D68" w:rsidRPr="00D17995">
        <w:rPr>
          <w:rFonts w:ascii="Tahoma" w:hAnsi="Tahoma" w:cs="Tahoma"/>
          <w:sz w:val="20"/>
          <w:szCs w:val="20"/>
          <w:lang w:val="en-US"/>
        </w:rPr>
        <w:t>for</w:t>
      </w:r>
      <w:r w:rsidR="00B12D9E" w:rsidRPr="00D17995">
        <w:rPr>
          <w:rFonts w:ascii="Tahoma" w:hAnsi="Tahoma" w:cs="Tahoma"/>
          <w:sz w:val="20"/>
          <w:szCs w:val="20"/>
          <w:lang w:val="en-US"/>
        </w:rPr>
        <w:t xml:space="preserve"> asylum seekers and refugees’ reception has also decreased. This does not surprise, considering the significant drop in asylum seekers and refugees’ applications in the 2015-2017 period.</w:t>
      </w:r>
    </w:p>
    <w:p w14:paraId="0F2C0F61" w14:textId="1968FB6E" w:rsidR="00F30649" w:rsidRPr="00D17995" w:rsidRDefault="00B12D9E" w:rsidP="00F30649">
      <w:pPr>
        <w:spacing w:after="0" w:line="240" w:lineRule="auto"/>
        <w:jc w:val="both"/>
        <w:rPr>
          <w:rFonts w:ascii="Tahoma" w:hAnsi="Tahoma" w:cs="Tahoma"/>
          <w:sz w:val="20"/>
          <w:szCs w:val="20"/>
          <w:lang w:val="en-US"/>
        </w:rPr>
      </w:pPr>
      <w:r w:rsidRPr="00D17995">
        <w:rPr>
          <w:rFonts w:ascii="Tahoma" w:hAnsi="Tahoma" w:cs="Tahoma"/>
          <w:sz w:val="20"/>
          <w:szCs w:val="20"/>
          <w:lang w:val="en-US"/>
        </w:rPr>
        <w:t xml:space="preserve">In 2021, regular immigrant workers were </w:t>
      </w:r>
      <w:r w:rsidR="00F30649" w:rsidRPr="00D17995">
        <w:rPr>
          <w:rFonts w:ascii="Tahoma" w:hAnsi="Tahoma" w:cs="Tahoma"/>
          <w:sz w:val="20"/>
          <w:szCs w:val="20"/>
          <w:lang w:val="en-US"/>
        </w:rPr>
        <w:t>2</w:t>
      </w:r>
      <w:r w:rsidRPr="00D17995">
        <w:rPr>
          <w:rFonts w:ascii="Tahoma" w:hAnsi="Tahoma" w:cs="Tahoma"/>
          <w:sz w:val="20"/>
          <w:szCs w:val="20"/>
          <w:lang w:val="en-US"/>
        </w:rPr>
        <w:t>.</w:t>
      </w:r>
      <w:r w:rsidR="00F30649" w:rsidRPr="00D17995">
        <w:rPr>
          <w:rFonts w:ascii="Tahoma" w:hAnsi="Tahoma" w:cs="Tahoma"/>
          <w:sz w:val="20"/>
          <w:szCs w:val="20"/>
          <w:lang w:val="en-US"/>
        </w:rPr>
        <w:t>26 mil</w:t>
      </w:r>
      <w:r w:rsidRPr="00D17995">
        <w:rPr>
          <w:rFonts w:ascii="Tahoma" w:hAnsi="Tahoma" w:cs="Tahoma"/>
          <w:sz w:val="20"/>
          <w:szCs w:val="20"/>
          <w:lang w:val="en-US"/>
        </w:rPr>
        <w:t xml:space="preserve">lion, that is 10% of the total, whereas people received in reception centers </w:t>
      </w:r>
      <w:r w:rsidR="003B5D68" w:rsidRPr="00D17995">
        <w:rPr>
          <w:rFonts w:ascii="Tahoma" w:hAnsi="Tahoma" w:cs="Tahoma"/>
          <w:sz w:val="20"/>
          <w:szCs w:val="20"/>
          <w:lang w:val="en-US"/>
        </w:rPr>
        <w:t>were</w:t>
      </w:r>
      <w:r w:rsidRPr="00D17995">
        <w:rPr>
          <w:rFonts w:ascii="Tahoma" w:hAnsi="Tahoma" w:cs="Tahoma"/>
          <w:sz w:val="20"/>
          <w:szCs w:val="20"/>
          <w:lang w:val="en-US"/>
        </w:rPr>
        <w:t xml:space="preserve"> about </w:t>
      </w:r>
      <w:r w:rsidR="00F30649" w:rsidRPr="00D17995">
        <w:rPr>
          <w:rFonts w:ascii="Tahoma" w:hAnsi="Tahoma" w:cs="Tahoma"/>
          <w:sz w:val="20"/>
          <w:szCs w:val="20"/>
          <w:lang w:val="en-US"/>
        </w:rPr>
        <w:t xml:space="preserve">78 </w:t>
      </w:r>
      <w:r w:rsidRPr="00D17995">
        <w:rPr>
          <w:rFonts w:ascii="Tahoma" w:hAnsi="Tahoma" w:cs="Tahoma"/>
          <w:sz w:val="20"/>
          <w:szCs w:val="20"/>
          <w:lang w:val="en-US"/>
        </w:rPr>
        <w:t>thousand</w:t>
      </w:r>
      <w:r w:rsidR="00F30649" w:rsidRPr="00D17995">
        <w:rPr>
          <w:rFonts w:ascii="Tahoma" w:hAnsi="Tahoma" w:cs="Tahoma"/>
          <w:sz w:val="20"/>
          <w:szCs w:val="20"/>
          <w:lang w:val="en-US"/>
        </w:rPr>
        <w:t xml:space="preserve"> (</w:t>
      </w:r>
      <w:r w:rsidRPr="00D17995">
        <w:rPr>
          <w:rFonts w:ascii="Tahoma" w:hAnsi="Tahoma" w:cs="Tahoma"/>
          <w:sz w:val="20"/>
          <w:szCs w:val="20"/>
          <w:lang w:val="en-US"/>
        </w:rPr>
        <w:t xml:space="preserve">with a ratio of </w:t>
      </w:r>
      <w:r w:rsidR="00F30649" w:rsidRPr="00D17995">
        <w:rPr>
          <w:rFonts w:ascii="Tahoma" w:hAnsi="Tahoma" w:cs="Tahoma"/>
          <w:sz w:val="20"/>
          <w:szCs w:val="20"/>
          <w:lang w:val="en-US"/>
        </w:rPr>
        <w:t xml:space="preserve">30 </w:t>
      </w:r>
      <w:r w:rsidRPr="00D17995">
        <w:rPr>
          <w:rFonts w:ascii="Tahoma" w:hAnsi="Tahoma" w:cs="Tahoma"/>
          <w:sz w:val="20"/>
          <w:szCs w:val="20"/>
          <w:lang w:val="en-US"/>
        </w:rPr>
        <w:t xml:space="preserve">immigrant workers per every received migrant). </w:t>
      </w:r>
    </w:p>
    <w:p w14:paraId="2856C48C" w14:textId="1E91C14B" w:rsidR="00F30649" w:rsidRPr="00D17995" w:rsidRDefault="00B12D9E" w:rsidP="00F30649">
      <w:pPr>
        <w:spacing w:after="0" w:line="240" w:lineRule="auto"/>
        <w:jc w:val="both"/>
        <w:rPr>
          <w:rFonts w:ascii="Tahoma" w:hAnsi="Tahoma" w:cs="Tahoma"/>
          <w:sz w:val="20"/>
          <w:szCs w:val="20"/>
          <w:lang w:val="en-US"/>
        </w:rPr>
      </w:pPr>
      <w:r w:rsidRPr="00D17995">
        <w:rPr>
          <w:rFonts w:ascii="Tahoma" w:hAnsi="Tahoma" w:cs="Tahoma"/>
          <w:sz w:val="20"/>
          <w:szCs w:val="20"/>
          <w:lang w:val="en-US"/>
        </w:rPr>
        <w:t xml:space="preserve">The social security and welfare components importantly determined such a positive balance: </w:t>
      </w:r>
      <w:r w:rsidR="003B5D68" w:rsidRPr="00D17995">
        <w:rPr>
          <w:rFonts w:ascii="Tahoma" w:hAnsi="Tahoma" w:cs="Tahoma"/>
          <w:sz w:val="20"/>
          <w:szCs w:val="20"/>
          <w:lang w:val="en-US"/>
        </w:rPr>
        <w:t xml:space="preserve">given </w:t>
      </w:r>
      <w:r w:rsidR="00F30649" w:rsidRPr="00D17995">
        <w:rPr>
          <w:rFonts w:ascii="Tahoma" w:hAnsi="Tahoma" w:cs="Tahoma"/>
          <w:sz w:val="20"/>
          <w:szCs w:val="20"/>
          <w:lang w:val="en-US"/>
        </w:rPr>
        <w:t>8</w:t>
      </w:r>
      <w:r w:rsidR="003B5D68" w:rsidRPr="00D17995">
        <w:rPr>
          <w:rFonts w:ascii="Tahoma" w:hAnsi="Tahoma" w:cs="Tahoma"/>
          <w:sz w:val="20"/>
          <w:szCs w:val="20"/>
          <w:lang w:val="en-US"/>
        </w:rPr>
        <w:t>.</w:t>
      </w:r>
      <w:r w:rsidR="00F30649" w:rsidRPr="00D17995">
        <w:rPr>
          <w:rFonts w:ascii="Tahoma" w:hAnsi="Tahoma" w:cs="Tahoma"/>
          <w:sz w:val="20"/>
          <w:szCs w:val="20"/>
          <w:lang w:val="en-US"/>
        </w:rPr>
        <w:t>4</w:t>
      </w:r>
      <w:r w:rsidRPr="00D17995">
        <w:rPr>
          <w:rFonts w:ascii="Tahoma" w:hAnsi="Tahoma" w:cs="Tahoma"/>
          <w:sz w:val="20"/>
          <w:szCs w:val="20"/>
          <w:lang w:val="en-US"/>
        </w:rPr>
        <w:t xml:space="preserve"> billion expenditures </w:t>
      </w:r>
      <w:r w:rsidR="00F30649" w:rsidRPr="00D17995">
        <w:rPr>
          <w:rFonts w:ascii="Tahoma" w:hAnsi="Tahoma" w:cs="Tahoma"/>
          <w:sz w:val="20"/>
          <w:szCs w:val="20"/>
          <w:lang w:val="en-US"/>
        </w:rPr>
        <w:t>(pension</w:t>
      </w:r>
      <w:r w:rsidRPr="00D17995">
        <w:rPr>
          <w:rFonts w:ascii="Tahoma" w:hAnsi="Tahoma" w:cs="Tahoma"/>
          <w:sz w:val="20"/>
          <w:szCs w:val="20"/>
          <w:lang w:val="en-US"/>
        </w:rPr>
        <w:t>s, unemployment, etc.</w:t>
      </w:r>
      <w:r w:rsidR="00F30649" w:rsidRPr="00D17995">
        <w:rPr>
          <w:rFonts w:ascii="Tahoma" w:hAnsi="Tahoma" w:cs="Tahoma"/>
          <w:sz w:val="20"/>
          <w:szCs w:val="20"/>
          <w:lang w:val="en-US"/>
        </w:rPr>
        <w:t>), 15</w:t>
      </w:r>
      <w:r w:rsidRPr="00D17995">
        <w:rPr>
          <w:rFonts w:ascii="Tahoma" w:hAnsi="Tahoma" w:cs="Tahoma"/>
          <w:sz w:val="20"/>
          <w:szCs w:val="20"/>
          <w:lang w:val="en-US"/>
        </w:rPr>
        <w:t>.</w:t>
      </w:r>
      <w:r w:rsidR="00F30649" w:rsidRPr="00D17995">
        <w:rPr>
          <w:rFonts w:ascii="Tahoma" w:hAnsi="Tahoma" w:cs="Tahoma"/>
          <w:sz w:val="20"/>
          <w:szCs w:val="20"/>
          <w:lang w:val="en-US"/>
        </w:rPr>
        <w:t xml:space="preserve">9 </w:t>
      </w:r>
      <w:r w:rsidRPr="00D17995">
        <w:rPr>
          <w:rFonts w:ascii="Tahoma" w:hAnsi="Tahoma" w:cs="Tahoma"/>
          <w:sz w:val="20"/>
          <w:szCs w:val="20"/>
          <w:lang w:val="en-US"/>
        </w:rPr>
        <w:t xml:space="preserve">billion revenues </w:t>
      </w:r>
      <w:r w:rsidR="003B5D68" w:rsidRPr="00D17995">
        <w:rPr>
          <w:rFonts w:ascii="Tahoma" w:hAnsi="Tahoma" w:cs="Tahoma"/>
          <w:sz w:val="20"/>
          <w:szCs w:val="20"/>
          <w:lang w:val="en-US"/>
        </w:rPr>
        <w:t xml:space="preserve">are </w:t>
      </w:r>
      <w:r w:rsidR="009A571A" w:rsidRPr="00D17995">
        <w:rPr>
          <w:rFonts w:ascii="Tahoma" w:hAnsi="Tahoma" w:cs="Tahoma"/>
          <w:sz w:val="20"/>
          <w:szCs w:val="20"/>
          <w:lang w:val="en-US"/>
        </w:rPr>
        <w:t xml:space="preserve">originating from social and security contributions. </w:t>
      </w:r>
    </w:p>
    <w:p w14:paraId="23BEED34" w14:textId="77777777" w:rsidR="00F30649" w:rsidRPr="00D17995" w:rsidRDefault="00F30649" w:rsidP="009B4580">
      <w:pPr>
        <w:spacing w:after="0" w:line="240" w:lineRule="auto"/>
        <w:jc w:val="both"/>
        <w:rPr>
          <w:rFonts w:ascii="Tahoma" w:hAnsi="Tahoma" w:cs="Tahoma"/>
          <w:sz w:val="20"/>
          <w:szCs w:val="20"/>
          <w:lang w:val="en-US"/>
        </w:rPr>
      </w:pPr>
    </w:p>
    <w:p w14:paraId="6E9E9C29" w14:textId="35FBD103" w:rsidR="009B4580" w:rsidRPr="00D17995" w:rsidRDefault="009A571A" w:rsidP="009B4580">
      <w:pPr>
        <w:spacing w:after="0" w:line="240" w:lineRule="auto"/>
        <w:jc w:val="both"/>
        <w:rPr>
          <w:rFonts w:ascii="Tahoma" w:hAnsi="Tahoma" w:cs="Tahoma"/>
          <w:sz w:val="20"/>
          <w:szCs w:val="20"/>
          <w:lang w:val="en-US"/>
        </w:rPr>
      </w:pPr>
      <w:r w:rsidRPr="00D17995">
        <w:rPr>
          <w:rFonts w:ascii="Tahoma" w:hAnsi="Tahoma" w:cs="Tahoma"/>
          <w:sz w:val="20"/>
          <w:szCs w:val="20"/>
          <w:lang w:val="en-US"/>
        </w:rPr>
        <w:t xml:space="preserve">It is vital to remember that such balance does not </w:t>
      </w:r>
      <w:r w:rsidR="00D17995" w:rsidRPr="00D17995">
        <w:rPr>
          <w:rFonts w:ascii="Tahoma" w:hAnsi="Tahoma" w:cs="Tahoma"/>
          <w:sz w:val="20"/>
          <w:szCs w:val="20"/>
          <w:lang w:val="en-US"/>
        </w:rPr>
        <w:t>consider</w:t>
      </w:r>
      <w:r w:rsidRPr="00D17995">
        <w:rPr>
          <w:rFonts w:ascii="Tahoma" w:hAnsi="Tahoma" w:cs="Tahoma"/>
          <w:sz w:val="20"/>
          <w:szCs w:val="20"/>
          <w:lang w:val="en-US"/>
        </w:rPr>
        <w:t xml:space="preserve"> the contribution that the immigrant presence provide</w:t>
      </w:r>
      <w:r w:rsidR="003B5D68" w:rsidRPr="00D17995">
        <w:rPr>
          <w:rFonts w:ascii="Tahoma" w:hAnsi="Tahoma" w:cs="Tahoma"/>
          <w:sz w:val="20"/>
          <w:szCs w:val="20"/>
          <w:lang w:val="en-US"/>
        </w:rPr>
        <w:t>s</w:t>
      </w:r>
      <w:r w:rsidRPr="00D17995">
        <w:rPr>
          <w:rFonts w:ascii="Tahoma" w:hAnsi="Tahoma" w:cs="Tahoma"/>
          <w:sz w:val="20"/>
          <w:szCs w:val="20"/>
          <w:lang w:val="en-US"/>
        </w:rPr>
        <w:t xml:space="preserve"> to the undergoing demographic dynamics and to the </w:t>
      </w:r>
      <w:r w:rsidR="003B5D68" w:rsidRPr="00D17995">
        <w:rPr>
          <w:rFonts w:ascii="Tahoma" w:hAnsi="Tahoma" w:cs="Tahoma"/>
          <w:sz w:val="20"/>
          <w:szCs w:val="20"/>
          <w:lang w:val="en-US"/>
        </w:rPr>
        <w:t>needs</w:t>
      </w:r>
      <w:r w:rsidRPr="00D17995">
        <w:rPr>
          <w:rFonts w:ascii="Tahoma" w:hAnsi="Tahoma" w:cs="Tahoma"/>
          <w:sz w:val="20"/>
          <w:szCs w:val="20"/>
          <w:lang w:val="en-US"/>
        </w:rPr>
        <w:t xml:space="preserve"> of the production system. Immigrants’ social inclusion will thus continue to offer benefits in the economic sphere, by ensuring a pool of workforce, a given level of consumption and new investments. </w:t>
      </w:r>
    </w:p>
    <w:p w14:paraId="55D9BA8B" w14:textId="77777777" w:rsidR="001C2987" w:rsidRPr="00D17995" w:rsidRDefault="001C2987" w:rsidP="009B4580">
      <w:pPr>
        <w:spacing w:after="0" w:line="240" w:lineRule="auto"/>
        <w:jc w:val="both"/>
        <w:rPr>
          <w:rFonts w:ascii="Tahoma" w:hAnsi="Tahoma" w:cs="Tahoma"/>
          <w:sz w:val="20"/>
          <w:szCs w:val="20"/>
          <w:lang w:val="en-US"/>
        </w:rPr>
      </w:pPr>
    </w:p>
    <w:p w14:paraId="631B6D27" w14:textId="36F64632" w:rsidR="0052543D" w:rsidRPr="00D17995" w:rsidRDefault="00992C9C" w:rsidP="0052543D">
      <w:pPr>
        <w:pStyle w:val="Paragrafoelenco"/>
        <w:numPr>
          <w:ilvl w:val="0"/>
          <w:numId w:val="8"/>
        </w:numPr>
        <w:spacing w:after="0" w:line="240" w:lineRule="auto"/>
        <w:ind w:left="284" w:hanging="284"/>
        <w:rPr>
          <w:rFonts w:ascii="Tahoma" w:hAnsi="Tahoma" w:cs="Tahoma"/>
          <w:b/>
          <w:color w:val="auto"/>
          <w:sz w:val="20"/>
          <w:szCs w:val="20"/>
          <w:lang w:val="en-US"/>
        </w:rPr>
      </w:pPr>
      <w:r w:rsidRPr="00D17995">
        <w:rPr>
          <w:rFonts w:ascii="Tahoma" w:hAnsi="Tahoma" w:cs="Tahoma"/>
          <w:b/>
          <w:color w:val="auto"/>
          <w:sz w:val="20"/>
          <w:szCs w:val="20"/>
          <w:lang w:val="en-US"/>
        </w:rPr>
        <w:t xml:space="preserve">The international </w:t>
      </w:r>
      <w:r w:rsidR="009A571A" w:rsidRPr="00D17995">
        <w:rPr>
          <w:rFonts w:ascii="Tahoma" w:hAnsi="Tahoma" w:cs="Tahoma"/>
          <w:b/>
          <w:color w:val="auto"/>
          <w:sz w:val="20"/>
          <w:szCs w:val="20"/>
          <w:lang w:val="en-US"/>
        </w:rPr>
        <w:t>panorama</w:t>
      </w:r>
    </w:p>
    <w:p w14:paraId="0B37AF12" w14:textId="77777777" w:rsidR="00E37E78" w:rsidRDefault="00E37E78" w:rsidP="009E07A7">
      <w:pPr>
        <w:spacing w:after="0" w:line="240" w:lineRule="auto"/>
        <w:jc w:val="both"/>
        <w:rPr>
          <w:rFonts w:ascii="Tahoma" w:hAnsi="Tahoma" w:cs="Tahoma"/>
          <w:sz w:val="20"/>
          <w:szCs w:val="20"/>
          <w:lang w:val="en-US"/>
        </w:rPr>
      </w:pPr>
    </w:p>
    <w:p w14:paraId="2E375FD7" w14:textId="2D4A01E6" w:rsidR="00234523" w:rsidRPr="00D17995" w:rsidRDefault="009A571A" w:rsidP="009E07A7">
      <w:pPr>
        <w:spacing w:after="0" w:line="240" w:lineRule="auto"/>
        <w:jc w:val="both"/>
        <w:rPr>
          <w:rFonts w:ascii="Tahoma" w:hAnsi="Tahoma" w:cs="Tahoma"/>
          <w:sz w:val="20"/>
          <w:szCs w:val="20"/>
          <w:lang w:val="en-US"/>
        </w:rPr>
      </w:pPr>
      <w:r w:rsidRPr="00D17995">
        <w:rPr>
          <w:rFonts w:ascii="Tahoma" w:hAnsi="Tahoma" w:cs="Tahoma"/>
          <w:sz w:val="20"/>
          <w:szCs w:val="20"/>
          <w:lang w:val="en-US"/>
        </w:rPr>
        <w:t xml:space="preserve">Migration is, by definition, a process that involves (at least) two countries, one of origin and one of destination (to which </w:t>
      </w:r>
      <w:r w:rsidR="003B5D68" w:rsidRPr="00D17995">
        <w:rPr>
          <w:rFonts w:ascii="Tahoma" w:hAnsi="Tahoma" w:cs="Tahoma"/>
          <w:sz w:val="20"/>
          <w:szCs w:val="20"/>
          <w:lang w:val="en-US"/>
        </w:rPr>
        <w:t>should</w:t>
      </w:r>
      <w:r w:rsidRPr="00D17995">
        <w:rPr>
          <w:rFonts w:ascii="Tahoma" w:hAnsi="Tahoma" w:cs="Tahoma"/>
          <w:sz w:val="20"/>
          <w:szCs w:val="20"/>
          <w:lang w:val="en-US"/>
        </w:rPr>
        <w:t xml:space="preserve"> be added countries of transit, where most often migrants end up living for longer years). </w:t>
      </w:r>
    </w:p>
    <w:p w14:paraId="1D647973" w14:textId="433725DF" w:rsidR="009E07A7" w:rsidRPr="00D17995" w:rsidRDefault="009A571A" w:rsidP="009E07A7">
      <w:pPr>
        <w:spacing w:after="0" w:line="240" w:lineRule="auto"/>
        <w:jc w:val="both"/>
        <w:rPr>
          <w:rFonts w:ascii="Tahoma" w:hAnsi="Tahoma" w:cs="Tahoma"/>
          <w:sz w:val="20"/>
          <w:szCs w:val="20"/>
          <w:lang w:val="en-US"/>
        </w:rPr>
      </w:pPr>
      <w:r w:rsidRPr="00D17995">
        <w:rPr>
          <w:rFonts w:ascii="Tahoma" w:hAnsi="Tahoma" w:cs="Tahoma"/>
          <w:sz w:val="20"/>
          <w:szCs w:val="20"/>
          <w:lang w:val="en-US"/>
        </w:rPr>
        <w:t>Therefore, migration is an international process which has its effects both on countries of destination (at the demographic, economic</w:t>
      </w:r>
      <w:r w:rsidR="003B5D68" w:rsidRPr="00D17995">
        <w:rPr>
          <w:rFonts w:ascii="Tahoma" w:hAnsi="Tahoma" w:cs="Tahoma"/>
          <w:sz w:val="20"/>
          <w:szCs w:val="20"/>
          <w:lang w:val="en-US"/>
        </w:rPr>
        <w:t xml:space="preserve"> and</w:t>
      </w:r>
      <w:r w:rsidRPr="00D17995">
        <w:rPr>
          <w:rFonts w:ascii="Tahoma" w:hAnsi="Tahoma" w:cs="Tahoma"/>
          <w:sz w:val="20"/>
          <w:szCs w:val="20"/>
          <w:lang w:val="en-US"/>
        </w:rPr>
        <w:t xml:space="preserve"> social level, as illustrated by this Report) but also on countries of origin. </w:t>
      </w:r>
    </w:p>
    <w:p w14:paraId="3293E90D" w14:textId="26BC6BBB" w:rsidR="009E07A7" w:rsidRPr="00D17995" w:rsidRDefault="009E07A7" w:rsidP="009E07A7">
      <w:pPr>
        <w:spacing w:after="0" w:line="240" w:lineRule="auto"/>
        <w:jc w:val="both"/>
        <w:rPr>
          <w:rFonts w:ascii="Tahoma" w:hAnsi="Tahoma" w:cs="Tahoma"/>
          <w:sz w:val="20"/>
          <w:szCs w:val="20"/>
          <w:lang w:val="en-US"/>
        </w:rPr>
      </w:pPr>
      <w:r w:rsidRPr="00D17995">
        <w:rPr>
          <w:rFonts w:ascii="Tahoma" w:hAnsi="Tahoma" w:cs="Tahoma"/>
          <w:sz w:val="20"/>
          <w:szCs w:val="20"/>
          <w:lang w:val="en-US"/>
        </w:rPr>
        <w:t>In partic</w:t>
      </w:r>
      <w:r w:rsidR="009A571A" w:rsidRPr="00D17995">
        <w:rPr>
          <w:rFonts w:ascii="Tahoma" w:hAnsi="Tahoma" w:cs="Tahoma"/>
          <w:sz w:val="20"/>
          <w:szCs w:val="20"/>
          <w:lang w:val="en-US"/>
        </w:rPr>
        <w:t xml:space="preserve">ular, the nexus between migration and development is further validated by the UN Agenda 2030 for </w:t>
      </w:r>
      <w:r w:rsidR="003B5D68" w:rsidRPr="00D17995">
        <w:rPr>
          <w:rFonts w:ascii="Tahoma" w:hAnsi="Tahoma" w:cs="Tahoma"/>
          <w:sz w:val="20"/>
          <w:szCs w:val="20"/>
          <w:lang w:val="en-US"/>
        </w:rPr>
        <w:t>S</w:t>
      </w:r>
      <w:r w:rsidR="009A571A" w:rsidRPr="00D17995">
        <w:rPr>
          <w:rFonts w:ascii="Tahoma" w:hAnsi="Tahoma" w:cs="Tahoma"/>
          <w:sz w:val="20"/>
          <w:szCs w:val="20"/>
          <w:lang w:val="en-US"/>
        </w:rPr>
        <w:t xml:space="preserve">ustainable </w:t>
      </w:r>
      <w:r w:rsidR="003B5D68" w:rsidRPr="00D17995">
        <w:rPr>
          <w:rFonts w:ascii="Tahoma" w:hAnsi="Tahoma" w:cs="Tahoma"/>
          <w:sz w:val="20"/>
          <w:szCs w:val="20"/>
          <w:lang w:val="en-US"/>
        </w:rPr>
        <w:t>D</w:t>
      </w:r>
      <w:r w:rsidR="009A571A" w:rsidRPr="00D17995">
        <w:rPr>
          <w:rFonts w:ascii="Tahoma" w:hAnsi="Tahoma" w:cs="Tahoma"/>
          <w:sz w:val="20"/>
          <w:szCs w:val="20"/>
          <w:lang w:val="en-US"/>
        </w:rPr>
        <w:t xml:space="preserve">evelopment. Within this new paradigmatic framework, where sustainable development is envisaged at the global level, </w:t>
      </w:r>
      <w:r w:rsidR="00FB5DB5" w:rsidRPr="00D17995">
        <w:rPr>
          <w:rFonts w:ascii="Tahoma" w:hAnsi="Tahoma" w:cs="Tahoma"/>
          <w:sz w:val="20"/>
          <w:szCs w:val="20"/>
          <w:lang w:val="en-US"/>
        </w:rPr>
        <w:t>all countries are appealed to embrace the 17 Objectives, regardless of the</w:t>
      </w:r>
      <w:r w:rsidR="003B5D68" w:rsidRPr="00D17995">
        <w:rPr>
          <w:rFonts w:ascii="Tahoma" w:hAnsi="Tahoma" w:cs="Tahoma"/>
          <w:sz w:val="20"/>
          <w:szCs w:val="20"/>
          <w:lang w:val="en-US"/>
        </w:rPr>
        <w:t>ir</w:t>
      </w:r>
      <w:r w:rsidR="00FB5DB5" w:rsidRPr="00D17995">
        <w:rPr>
          <w:rFonts w:ascii="Tahoma" w:hAnsi="Tahoma" w:cs="Tahoma"/>
          <w:sz w:val="20"/>
          <w:szCs w:val="20"/>
          <w:lang w:val="en-US"/>
        </w:rPr>
        <w:t xml:space="preserve"> latitude, income level and geo-political classification. Such an approach contributes to challenge the more traditional and dichotomic discourse around the migration</w:t>
      </w:r>
      <w:r w:rsidR="003B5D68" w:rsidRPr="00D17995">
        <w:rPr>
          <w:rFonts w:ascii="Tahoma" w:hAnsi="Tahoma" w:cs="Tahoma"/>
          <w:sz w:val="20"/>
          <w:szCs w:val="20"/>
          <w:lang w:val="en-US"/>
        </w:rPr>
        <w:t>-</w:t>
      </w:r>
      <w:r w:rsidR="00FB5DB5" w:rsidRPr="00D17995">
        <w:rPr>
          <w:rFonts w:ascii="Tahoma" w:hAnsi="Tahoma" w:cs="Tahoma"/>
          <w:sz w:val="20"/>
          <w:szCs w:val="20"/>
          <w:lang w:val="en-US"/>
        </w:rPr>
        <w:t>development nexus, which is polarized between push and pull factors in a most often unidirectional way from the global South to the global North.</w:t>
      </w:r>
      <w:r w:rsidRPr="00D17995">
        <w:rPr>
          <w:rFonts w:ascii="Tahoma" w:hAnsi="Tahoma" w:cs="Tahoma"/>
          <w:sz w:val="20"/>
          <w:szCs w:val="20"/>
          <w:lang w:val="en-US"/>
        </w:rPr>
        <w:t xml:space="preserve"> </w:t>
      </w:r>
    </w:p>
    <w:p w14:paraId="6F605B01" w14:textId="77777777" w:rsidR="009E07A7" w:rsidRPr="00D17995" w:rsidRDefault="009E07A7" w:rsidP="009E07A7">
      <w:pPr>
        <w:spacing w:after="0" w:line="240" w:lineRule="auto"/>
        <w:jc w:val="both"/>
        <w:rPr>
          <w:rFonts w:ascii="Tahoma" w:hAnsi="Tahoma" w:cs="Tahoma"/>
          <w:sz w:val="20"/>
          <w:szCs w:val="20"/>
          <w:lang w:val="en-US"/>
        </w:rPr>
      </w:pPr>
    </w:p>
    <w:p w14:paraId="5E9039E9" w14:textId="4E704087" w:rsidR="009E07A7" w:rsidRPr="00D17995" w:rsidRDefault="00FB5DB5" w:rsidP="009E07A7">
      <w:pPr>
        <w:spacing w:after="0" w:line="240" w:lineRule="auto"/>
        <w:jc w:val="both"/>
        <w:rPr>
          <w:rFonts w:ascii="Tahoma" w:hAnsi="Tahoma" w:cs="Tahoma"/>
          <w:sz w:val="20"/>
          <w:szCs w:val="20"/>
          <w:lang w:val="en-US"/>
        </w:rPr>
      </w:pPr>
      <w:r w:rsidRPr="00D17995">
        <w:rPr>
          <w:rFonts w:ascii="Tahoma" w:hAnsi="Tahoma" w:cs="Tahoma"/>
          <w:sz w:val="20"/>
          <w:szCs w:val="20"/>
          <w:lang w:val="en-US"/>
        </w:rPr>
        <w:t xml:space="preserve">“Remittances”, namely money flows destined to families in one’s home country, represent one of the means through which migrants contribute the most </w:t>
      </w:r>
      <w:r w:rsidR="00FE60D6" w:rsidRPr="00D17995">
        <w:rPr>
          <w:rFonts w:ascii="Tahoma" w:hAnsi="Tahoma" w:cs="Tahoma"/>
          <w:sz w:val="20"/>
          <w:szCs w:val="20"/>
          <w:lang w:val="en-US"/>
        </w:rPr>
        <w:t>to</w:t>
      </w:r>
      <w:r w:rsidRPr="00D17995">
        <w:rPr>
          <w:rFonts w:ascii="Tahoma" w:hAnsi="Tahoma" w:cs="Tahoma"/>
          <w:sz w:val="20"/>
          <w:szCs w:val="20"/>
          <w:lang w:val="en-US"/>
        </w:rPr>
        <w:t xml:space="preserve"> the development of their country of origin. </w:t>
      </w:r>
    </w:p>
    <w:p w14:paraId="5E0A85EC" w14:textId="77777777" w:rsidR="009E07A7" w:rsidRPr="00D17995" w:rsidRDefault="009E07A7" w:rsidP="009E07A7">
      <w:pPr>
        <w:spacing w:after="0" w:line="240" w:lineRule="auto"/>
        <w:jc w:val="both"/>
        <w:rPr>
          <w:rFonts w:ascii="Tahoma" w:hAnsi="Tahoma" w:cs="Tahoma"/>
          <w:sz w:val="20"/>
          <w:szCs w:val="20"/>
          <w:lang w:val="en-US"/>
        </w:rPr>
      </w:pPr>
    </w:p>
    <w:p w14:paraId="54C08640" w14:textId="2E0FF66A" w:rsidR="009E07A7" w:rsidRPr="00D17995" w:rsidRDefault="00FB5DB5" w:rsidP="009E07A7">
      <w:pPr>
        <w:spacing w:after="0" w:line="240" w:lineRule="auto"/>
        <w:jc w:val="both"/>
        <w:rPr>
          <w:rFonts w:ascii="Tahoma" w:hAnsi="Tahoma" w:cs="Tahoma"/>
          <w:sz w:val="20"/>
          <w:szCs w:val="20"/>
          <w:lang w:val="en-US"/>
        </w:rPr>
      </w:pPr>
      <w:r w:rsidRPr="00D17995">
        <w:rPr>
          <w:rFonts w:ascii="Tahoma" w:hAnsi="Tahoma" w:cs="Tahoma"/>
          <w:sz w:val="20"/>
          <w:szCs w:val="20"/>
          <w:lang w:val="en-US"/>
        </w:rPr>
        <w:t xml:space="preserve">By considering only money flows sent from Italy, remittances </w:t>
      </w:r>
      <w:r w:rsidR="003B5D68" w:rsidRPr="00D17995">
        <w:rPr>
          <w:rFonts w:ascii="Tahoma" w:hAnsi="Tahoma" w:cs="Tahoma"/>
          <w:sz w:val="20"/>
          <w:szCs w:val="20"/>
          <w:lang w:val="en-US"/>
        </w:rPr>
        <w:t xml:space="preserve">have </w:t>
      </w:r>
      <w:r w:rsidRPr="00D17995">
        <w:rPr>
          <w:rFonts w:ascii="Tahoma" w:hAnsi="Tahoma" w:cs="Tahoma"/>
          <w:sz w:val="20"/>
          <w:szCs w:val="20"/>
          <w:lang w:val="en-US"/>
        </w:rPr>
        <w:t>display</w:t>
      </w:r>
      <w:r w:rsidR="003B5D68" w:rsidRPr="00D17995">
        <w:rPr>
          <w:rFonts w:ascii="Tahoma" w:hAnsi="Tahoma" w:cs="Tahoma"/>
          <w:sz w:val="20"/>
          <w:szCs w:val="20"/>
          <w:lang w:val="en-US"/>
        </w:rPr>
        <w:t>ed</w:t>
      </w:r>
      <w:r w:rsidRPr="00D17995">
        <w:rPr>
          <w:rFonts w:ascii="Tahoma" w:hAnsi="Tahoma" w:cs="Tahoma"/>
          <w:sz w:val="20"/>
          <w:szCs w:val="20"/>
          <w:lang w:val="en-US"/>
        </w:rPr>
        <w:t xml:space="preserve"> a continuous increase since </w:t>
      </w:r>
      <w:r w:rsidR="009E07A7" w:rsidRPr="00D17995">
        <w:rPr>
          <w:rFonts w:ascii="Tahoma" w:hAnsi="Tahoma" w:cs="Tahoma"/>
          <w:sz w:val="20"/>
          <w:szCs w:val="20"/>
          <w:lang w:val="en-US"/>
        </w:rPr>
        <w:t>2017.</w:t>
      </w:r>
      <w:r w:rsidRPr="00D17995">
        <w:rPr>
          <w:rFonts w:ascii="Tahoma" w:hAnsi="Tahoma" w:cs="Tahoma"/>
          <w:sz w:val="20"/>
          <w:szCs w:val="20"/>
          <w:lang w:val="en-US"/>
        </w:rPr>
        <w:t xml:space="preserve"> The overall </w:t>
      </w:r>
      <w:r w:rsidR="003B5D68" w:rsidRPr="00D17995">
        <w:rPr>
          <w:rFonts w:ascii="Tahoma" w:hAnsi="Tahoma" w:cs="Tahoma"/>
          <w:sz w:val="20"/>
          <w:szCs w:val="20"/>
          <w:lang w:val="en-US"/>
        </w:rPr>
        <w:t xml:space="preserve">reported </w:t>
      </w:r>
      <w:r w:rsidRPr="00D17995">
        <w:rPr>
          <w:rFonts w:ascii="Tahoma" w:hAnsi="Tahoma" w:cs="Tahoma"/>
          <w:sz w:val="20"/>
          <w:szCs w:val="20"/>
          <w:lang w:val="en-US"/>
        </w:rPr>
        <w:t xml:space="preserve">volume is </w:t>
      </w:r>
      <w:r w:rsidR="009E07A7" w:rsidRPr="00D17995">
        <w:rPr>
          <w:rFonts w:ascii="Tahoma" w:hAnsi="Tahoma" w:cs="Tahoma"/>
          <w:sz w:val="20"/>
          <w:szCs w:val="20"/>
          <w:lang w:val="en-US"/>
        </w:rPr>
        <w:t>7</w:t>
      </w:r>
      <w:r w:rsidRPr="00D17995">
        <w:rPr>
          <w:rFonts w:ascii="Tahoma" w:hAnsi="Tahoma" w:cs="Tahoma"/>
          <w:sz w:val="20"/>
          <w:szCs w:val="20"/>
          <w:lang w:val="en-US"/>
        </w:rPr>
        <w:t>.</w:t>
      </w:r>
      <w:r w:rsidR="009E07A7" w:rsidRPr="00D17995">
        <w:rPr>
          <w:rFonts w:ascii="Tahoma" w:hAnsi="Tahoma" w:cs="Tahoma"/>
          <w:sz w:val="20"/>
          <w:szCs w:val="20"/>
          <w:lang w:val="en-US"/>
        </w:rPr>
        <w:t xml:space="preserve">7 </w:t>
      </w:r>
      <w:r w:rsidRPr="00D17995">
        <w:rPr>
          <w:rFonts w:ascii="Tahoma" w:hAnsi="Tahoma" w:cs="Tahoma"/>
          <w:sz w:val="20"/>
          <w:szCs w:val="20"/>
          <w:lang w:val="en-US"/>
        </w:rPr>
        <w:t xml:space="preserve">billion euros, close to </w:t>
      </w:r>
      <w:r w:rsidR="003B5D68" w:rsidRPr="00D17995">
        <w:rPr>
          <w:rFonts w:ascii="Tahoma" w:hAnsi="Tahoma" w:cs="Tahoma"/>
          <w:sz w:val="20"/>
          <w:szCs w:val="20"/>
          <w:lang w:val="en-US"/>
        </w:rPr>
        <w:t>its</w:t>
      </w:r>
      <w:r w:rsidRPr="00D17995">
        <w:rPr>
          <w:rFonts w:ascii="Tahoma" w:hAnsi="Tahoma" w:cs="Tahoma"/>
          <w:sz w:val="20"/>
          <w:szCs w:val="20"/>
          <w:lang w:val="en-US"/>
        </w:rPr>
        <w:t xml:space="preserve"> highest peak of 8 billion registered in 2011.</w:t>
      </w:r>
      <w:r w:rsidR="009E07A7" w:rsidRPr="00D17995">
        <w:rPr>
          <w:rFonts w:ascii="Tahoma" w:hAnsi="Tahoma" w:cs="Tahoma"/>
          <w:sz w:val="20"/>
          <w:szCs w:val="20"/>
          <w:lang w:val="en-US"/>
        </w:rPr>
        <w:t xml:space="preserve"> </w:t>
      </w:r>
    </w:p>
    <w:p w14:paraId="78EB2515" w14:textId="10651F88" w:rsidR="009E07A7" w:rsidRPr="00D17995" w:rsidRDefault="009E07A7" w:rsidP="009E07A7">
      <w:pPr>
        <w:spacing w:after="0" w:line="240" w:lineRule="auto"/>
        <w:jc w:val="both"/>
        <w:rPr>
          <w:rFonts w:ascii="Tahoma" w:hAnsi="Tahoma" w:cs="Tahoma"/>
          <w:sz w:val="20"/>
          <w:szCs w:val="20"/>
          <w:lang w:val="en-US"/>
        </w:rPr>
      </w:pPr>
      <w:r w:rsidRPr="00D17995">
        <w:rPr>
          <w:rFonts w:ascii="Tahoma" w:hAnsi="Tahoma" w:cs="Tahoma"/>
          <w:sz w:val="20"/>
          <w:szCs w:val="20"/>
          <w:lang w:val="en-US"/>
        </w:rPr>
        <w:t>In partic</w:t>
      </w:r>
      <w:r w:rsidR="00FB5DB5" w:rsidRPr="00D17995">
        <w:rPr>
          <w:rFonts w:ascii="Tahoma" w:hAnsi="Tahoma" w:cs="Tahoma"/>
          <w:sz w:val="20"/>
          <w:szCs w:val="20"/>
          <w:lang w:val="en-US"/>
        </w:rPr>
        <w:t xml:space="preserve">ular, in 2021, remittances increased by </w:t>
      </w:r>
      <w:r w:rsidRPr="00D17995">
        <w:rPr>
          <w:rFonts w:ascii="Tahoma" w:hAnsi="Tahoma" w:cs="Tahoma"/>
          <w:sz w:val="20"/>
          <w:szCs w:val="20"/>
          <w:lang w:val="en-US"/>
        </w:rPr>
        <w:t>12</w:t>
      </w:r>
      <w:r w:rsidR="00FB5DB5" w:rsidRPr="00D17995">
        <w:rPr>
          <w:rFonts w:ascii="Tahoma" w:hAnsi="Tahoma" w:cs="Tahoma"/>
          <w:sz w:val="20"/>
          <w:szCs w:val="20"/>
          <w:lang w:val="en-US"/>
        </w:rPr>
        <w:t>.</w:t>
      </w:r>
      <w:r w:rsidRPr="00D17995">
        <w:rPr>
          <w:rFonts w:ascii="Tahoma" w:hAnsi="Tahoma" w:cs="Tahoma"/>
          <w:sz w:val="20"/>
          <w:szCs w:val="20"/>
          <w:lang w:val="en-US"/>
        </w:rPr>
        <w:t>2%</w:t>
      </w:r>
      <w:r w:rsidR="00FB5DB5" w:rsidRPr="00D17995">
        <w:rPr>
          <w:rFonts w:ascii="Tahoma" w:hAnsi="Tahoma" w:cs="Tahoma"/>
          <w:sz w:val="20"/>
          <w:szCs w:val="20"/>
          <w:lang w:val="en-US"/>
        </w:rPr>
        <w:t xml:space="preserve"> compared to the previous year, and by </w:t>
      </w:r>
      <w:r w:rsidRPr="00D17995">
        <w:rPr>
          <w:rFonts w:ascii="Tahoma" w:hAnsi="Tahoma" w:cs="Tahoma"/>
          <w:sz w:val="20"/>
          <w:szCs w:val="20"/>
          <w:lang w:val="en-US"/>
        </w:rPr>
        <w:t>46</w:t>
      </w:r>
      <w:r w:rsidR="00FB5DB5" w:rsidRPr="00D17995">
        <w:rPr>
          <w:rFonts w:ascii="Tahoma" w:hAnsi="Tahoma" w:cs="Tahoma"/>
          <w:sz w:val="20"/>
          <w:szCs w:val="20"/>
          <w:lang w:val="en-US"/>
        </w:rPr>
        <w:t>.</w:t>
      </w:r>
      <w:r w:rsidRPr="00D17995">
        <w:rPr>
          <w:rFonts w:ascii="Tahoma" w:hAnsi="Tahoma" w:cs="Tahoma"/>
          <w:sz w:val="20"/>
          <w:szCs w:val="20"/>
          <w:lang w:val="en-US"/>
        </w:rPr>
        <w:t>3%</w:t>
      </w:r>
      <w:r w:rsidR="00FB5DB5" w:rsidRPr="00D17995">
        <w:rPr>
          <w:rFonts w:ascii="Tahoma" w:hAnsi="Tahoma" w:cs="Tahoma"/>
          <w:sz w:val="20"/>
          <w:szCs w:val="20"/>
          <w:lang w:val="en-US"/>
        </w:rPr>
        <w:t xml:space="preserve"> compared to </w:t>
      </w:r>
      <w:r w:rsidRPr="00D17995">
        <w:rPr>
          <w:rFonts w:ascii="Tahoma" w:hAnsi="Tahoma" w:cs="Tahoma"/>
          <w:sz w:val="20"/>
          <w:szCs w:val="20"/>
          <w:lang w:val="en-US"/>
        </w:rPr>
        <w:t xml:space="preserve">2016. </w:t>
      </w:r>
      <w:r w:rsidR="00FB5DB5" w:rsidRPr="00D17995">
        <w:rPr>
          <w:rFonts w:ascii="Tahoma" w:hAnsi="Tahoma" w:cs="Tahoma"/>
          <w:sz w:val="20"/>
          <w:szCs w:val="20"/>
          <w:lang w:val="en-US"/>
        </w:rPr>
        <w:t xml:space="preserve">The incidence on GDP is registering a rise, too. </w:t>
      </w:r>
      <w:r w:rsidR="00CD5BBF" w:rsidRPr="00D17995">
        <w:rPr>
          <w:rFonts w:ascii="Tahoma" w:hAnsi="Tahoma" w:cs="Tahoma"/>
          <w:sz w:val="20"/>
          <w:szCs w:val="20"/>
          <w:lang w:val="en-US"/>
        </w:rPr>
        <w:t xml:space="preserve">After exceeding the </w:t>
      </w:r>
      <w:r w:rsidRPr="00D17995">
        <w:rPr>
          <w:rFonts w:ascii="Tahoma" w:hAnsi="Tahoma" w:cs="Tahoma"/>
          <w:sz w:val="20"/>
          <w:szCs w:val="20"/>
          <w:lang w:val="en-US"/>
        </w:rPr>
        <w:t>0</w:t>
      </w:r>
      <w:r w:rsidR="00CD5BBF" w:rsidRPr="00D17995">
        <w:rPr>
          <w:rFonts w:ascii="Tahoma" w:hAnsi="Tahoma" w:cs="Tahoma"/>
          <w:sz w:val="20"/>
          <w:szCs w:val="20"/>
          <w:lang w:val="en-US"/>
        </w:rPr>
        <w:t>.</w:t>
      </w:r>
      <w:r w:rsidRPr="00D17995">
        <w:rPr>
          <w:rFonts w:ascii="Tahoma" w:hAnsi="Tahoma" w:cs="Tahoma"/>
          <w:sz w:val="20"/>
          <w:szCs w:val="20"/>
          <w:lang w:val="en-US"/>
        </w:rPr>
        <w:t>4%</w:t>
      </w:r>
      <w:r w:rsidR="00CD5BBF" w:rsidRPr="00D17995">
        <w:rPr>
          <w:rFonts w:ascii="Tahoma" w:hAnsi="Tahoma" w:cs="Tahoma"/>
          <w:sz w:val="20"/>
          <w:szCs w:val="20"/>
          <w:lang w:val="en-US"/>
        </w:rPr>
        <w:t xml:space="preserve"> quota</w:t>
      </w:r>
      <w:r w:rsidRPr="00D17995">
        <w:rPr>
          <w:rFonts w:ascii="Tahoma" w:hAnsi="Tahoma" w:cs="Tahoma"/>
          <w:sz w:val="20"/>
          <w:szCs w:val="20"/>
          <w:lang w:val="en-US"/>
        </w:rPr>
        <w:t xml:space="preserve">, </w:t>
      </w:r>
      <w:r w:rsidR="00FE60D6" w:rsidRPr="00D17995">
        <w:rPr>
          <w:rFonts w:ascii="Tahoma" w:hAnsi="Tahoma" w:cs="Tahoma"/>
          <w:sz w:val="20"/>
          <w:szCs w:val="20"/>
          <w:lang w:val="en-US"/>
        </w:rPr>
        <w:t>between</w:t>
      </w:r>
      <w:r w:rsidR="00CD5BBF" w:rsidRPr="00D17995">
        <w:rPr>
          <w:rFonts w:ascii="Tahoma" w:hAnsi="Tahoma" w:cs="Tahoma"/>
          <w:sz w:val="20"/>
          <w:szCs w:val="20"/>
          <w:lang w:val="en-US"/>
        </w:rPr>
        <w:t xml:space="preserve"> </w:t>
      </w:r>
      <w:r w:rsidRPr="00D17995">
        <w:rPr>
          <w:rFonts w:ascii="Tahoma" w:hAnsi="Tahoma" w:cs="Tahoma"/>
          <w:sz w:val="20"/>
          <w:szCs w:val="20"/>
          <w:lang w:val="en-US"/>
        </w:rPr>
        <w:t xml:space="preserve">2009 </w:t>
      </w:r>
      <w:r w:rsidR="00CD5BBF" w:rsidRPr="00D17995">
        <w:rPr>
          <w:rFonts w:ascii="Tahoma" w:hAnsi="Tahoma" w:cs="Tahoma"/>
          <w:sz w:val="20"/>
          <w:szCs w:val="20"/>
          <w:lang w:val="en-US"/>
        </w:rPr>
        <w:t>and</w:t>
      </w:r>
      <w:r w:rsidRPr="00D17995">
        <w:rPr>
          <w:rFonts w:ascii="Tahoma" w:hAnsi="Tahoma" w:cs="Tahoma"/>
          <w:sz w:val="20"/>
          <w:szCs w:val="20"/>
          <w:lang w:val="en-US"/>
        </w:rPr>
        <w:t xml:space="preserve"> 2012, </w:t>
      </w:r>
      <w:r w:rsidR="00CD5BBF" w:rsidRPr="00D17995">
        <w:rPr>
          <w:rFonts w:ascii="Tahoma" w:hAnsi="Tahoma" w:cs="Tahoma"/>
          <w:sz w:val="20"/>
          <w:szCs w:val="20"/>
          <w:lang w:val="en-US"/>
        </w:rPr>
        <w:t xml:space="preserve">the balance between remittances and GDP declined below </w:t>
      </w:r>
      <w:r w:rsidRPr="00D17995">
        <w:rPr>
          <w:rFonts w:ascii="Tahoma" w:hAnsi="Tahoma" w:cs="Tahoma"/>
          <w:sz w:val="20"/>
          <w:szCs w:val="20"/>
          <w:lang w:val="en-US"/>
        </w:rPr>
        <w:t>0</w:t>
      </w:r>
      <w:r w:rsidR="00CD5BBF" w:rsidRPr="00D17995">
        <w:rPr>
          <w:rFonts w:ascii="Tahoma" w:hAnsi="Tahoma" w:cs="Tahoma"/>
          <w:sz w:val="20"/>
          <w:szCs w:val="20"/>
          <w:lang w:val="en-US"/>
        </w:rPr>
        <w:t>.</w:t>
      </w:r>
      <w:r w:rsidRPr="00D17995">
        <w:rPr>
          <w:rFonts w:ascii="Tahoma" w:hAnsi="Tahoma" w:cs="Tahoma"/>
          <w:sz w:val="20"/>
          <w:szCs w:val="20"/>
          <w:lang w:val="en-US"/>
        </w:rPr>
        <w:t xml:space="preserve">3% </w:t>
      </w:r>
      <w:r w:rsidR="00CD5BBF" w:rsidRPr="00D17995">
        <w:rPr>
          <w:rFonts w:ascii="Tahoma" w:hAnsi="Tahoma" w:cs="Tahoma"/>
          <w:sz w:val="20"/>
          <w:szCs w:val="20"/>
          <w:lang w:val="en-US"/>
        </w:rPr>
        <w:t xml:space="preserve">in </w:t>
      </w:r>
      <w:r w:rsidRPr="00D17995">
        <w:rPr>
          <w:rFonts w:ascii="Tahoma" w:hAnsi="Tahoma" w:cs="Tahoma"/>
          <w:sz w:val="20"/>
          <w:szCs w:val="20"/>
          <w:lang w:val="en-US"/>
        </w:rPr>
        <w:t xml:space="preserve">2017. </w:t>
      </w:r>
      <w:r w:rsidR="00CD5BBF" w:rsidRPr="00D17995">
        <w:rPr>
          <w:rFonts w:ascii="Tahoma" w:hAnsi="Tahoma" w:cs="Tahoma"/>
          <w:sz w:val="20"/>
          <w:szCs w:val="20"/>
          <w:lang w:val="en-US"/>
        </w:rPr>
        <w:t xml:space="preserve">Since then, the figure has been showing a constant increase, with the current value being </w:t>
      </w:r>
      <w:r w:rsidRPr="00D17995">
        <w:rPr>
          <w:rFonts w:ascii="Tahoma" w:hAnsi="Tahoma" w:cs="Tahoma"/>
          <w:sz w:val="20"/>
          <w:szCs w:val="20"/>
          <w:lang w:val="en-US"/>
        </w:rPr>
        <w:t>0</w:t>
      </w:r>
      <w:r w:rsidR="00CD5BBF" w:rsidRPr="00D17995">
        <w:rPr>
          <w:rFonts w:ascii="Tahoma" w:hAnsi="Tahoma" w:cs="Tahoma"/>
          <w:sz w:val="20"/>
          <w:szCs w:val="20"/>
          <w:lang w:val="en-US"/>
        </w:rPr>
        <w:t>.</w:t>
      </w:r>
      <w:r w:rsidRPr="00D17995">
        <w:rPr>
          <w:rFonts w:ascii="Tahoma" w:hAnsi="Tahoma" w:cs="Tahoma"/>
          <w:sz w:val="20"/>
          <w:szCs w:val="20"/>
          <w:lang w:val="en-US"/>
        </w:rPr>
        <w:t>44%.</w:t>
      </w:r>
    </w:p>
    <w:p w14:paraId="6FFA7CAE" w14:textId="77777777" w:rsidR="009E07A7" w:rsidRPr="00D17995" w:rsidRDefault="009E07A7" w:rsidP="009E07A7">
      <w:pPr>
        <w:spacing w:after="0" w:line="240" w:lineRule="auto"/>
        <w:jc w:val="both"/>
        <w:rPr>
          <w:rFonts w:ascii="Tahoma" w:hAnsi="Tahoma" w:cs="Tahoma"/>
          <w:sz w:val="20"/>
          <w:szCs w:val="20"/>
          <w:lang w:val="en-US"/>
        </w:rPr>
      </w:pPr>
    </w:p>
    <w:p w14:paraId="778E0855" w14:textId="5AD25CC8" w:rsidR="009E07A7" w:rsidRPr="00D17995" w:rsidRDefault="009E07A7" w:rsidP="009E07A7">
      <w:pPr>
        <w:spacing w:after="0" w:line="240" w:lineRule="auto"/>
        <w:jc w:val="both"/>
        <w:rPr>
          <w:rFonts w:ascii="Tahoma" w:hAnsi="Tahoma" w:cs="Tahoma"/>
          <w:sz w:val="20"/>
          <w:szCs w:val="20"/>
          <w:lang w:val="en-US"/>
        </w:rPr>
      </w:pPr>
      <w:r w:rsidRPr="00D17995">
        <w:rPr>
          <w:rFonts w:ascii="Tahoma" w:hAnsi="Tahoma" w:cs="Tahoma"/>
          <w:sz w:val="20"/>
          <w:szCs w:val="20"/>
          <w:lang w:val="en-US"/>
        </w:rPr>
        <w:t>Dur</w:t>
      </w:r>
      <w:r w:rsidR="00CD5BBF" w:rsidRPr="00D17995">
        <w:rPr>
          <w:rFonts w:ascii="Tahoma" w:hAnsi="Tahoma" w:cs="Tahoma"/>
          <w:sz w:val="20"/>
          <w:szCs w:val="20"/>
          <w:lang w:val="en-US"/>
        </w:rPr>
        <w:t xml:space="preserve">ing the pandemic, although the decrease </w:t>
      </w:r>
      <w:r w:rsidR="00FE60D6" w:rsidRPr="00D17995">
        <w:rPr>
          <w:rFonts w:ascii="Tahoma" w:hAnsi="Tahoma" w:cs="Tahoma"/>
          <w:sz w:val="20"/>
          <w:szCs w:val="20"/>
          <w:lang w:val="en-US"/>
        </w:rPr>
        <w:t>in</w:t>
      </w:r>
      <w:r w:rsidR="00CD5BBF" w:rsidRPr="00D17995">
        <w:rPr>
          <w:rFonts w:ascii="Tahoma" w:hAnsi="Tahoma" w:cs="Tahoma"/>
          <w:sz w:val="20"/>
          <w:szCs w:val="20"/>
          <w:lang w:val="en-US"/>
        </w:rPr>
        <w:t xml:space="preserve"> available income, immigrants have maintained, if not increased, the support to their families in countries of origin. </w:t>
      </w:r>
    </w:p>
    <w:p w14:paraId="1EE29F17" w14:textId="32C84EA2" w:rsidR="009E07A7" w:rsidRPr="00D17995" w:rsidRDefault="00CD5BBF" w:rsidP="009E07A7">
      <w:pPr>
        <w:spacing w:after="0" w:line="240" w:lineRule="auto"/>
        <w:jc w:val="both"/>
        <w:rPr>
          <w:rFonts w:ascii="Tahoma" w:hAnsi="Tahoma" w:cs="Tahoma"/>
          <w:sz w:val="20"/>
          <w:szCs w:val="20"/>
          <w:lang w:val="en-US"/>
        </w:rPr>
      </w:pPr>
      <w:r w:rsidRPr="00D17995">
        <w:rPr>
          <w:rFonts w:ascii="Tahoma" w:hAnsi="Tahoma" w:cs="Tahoma"/>
          <w:sz w:val="20"/>
          <w:szCs w:val="20"/>
          <w:lang w:val="en-US"/>
        </w:rPr>
        <w:t>This rise can be explained by several elements.</w:t>
      </w:r>
      <w:r w:rsidR="003B5D68" w:rsidRPr="00D17995">
        <w:rPr>
          <w:rFonts w:ascii="Tahoma" w:hAnsi="Tahoma" w:cs="Tahoma"/>
          <w:sz w:val="20"/>
          <w:szCs w:val="20"/>
          <w:lang w:val="en-US"/>
        </w:rPr>
        <w:t xml:space="preserve"> For instance,</w:t>
      </w:r>
      <w:r w:rsidRPr="00D17995">
        <w:rPr>
          <w:rFonts w:ascii="Tahoma" w:hAnsi="Tahoma" w:cs="Tahoma"/>
          <w:sz w:val="20"/>
          <w:szCs w:val="20"/>
          <w:lang w:val="en-US"/>
        </w:rPr>
        <w:t xml:space="preserve"> in periods </w:t>
      </w:r>
      <w:r w:rsidR="003B5D68" w:rsidRPr="00D17995">
        <w:rPr>
          <w:rFonts w:ascii="Tahoma" w:hAnsi="Tahoma" w:cs="Tahoma"/>
          <w:sz w:val="20"/>
          <w:szCs w:val="20"/>
          <w:lang w:val="en-US"/>
        </w:rPr>
        <w:t xml:space="preserve">when </w:t>
      </w:r>
      <w:r w:rsidRPr="00D17995">
        <w:rPr>
          <w:rFonts w:ascii="Tahoma" w:hAnsi="Tahoma" w:cs="Tahoma"/>
          <w:sz w:val="20"/>
          <w:szCs w:val="20"/>
          <w:lang w:val="en-US"/>
        </w:rPr>
        <w:t>international mobility</w:t>
      </w:r>
      <w:r w:rsidR="003B5D68" w:rsidRPr="00D17995">
        <w:rPr>
          <w:rFonts w:ascii="Tahoma" w:hAnsi="Tahoma" w:cs="Tahoma"/>
          <w:sz w:val="20"/>
          <w:szCs w:val="20"/>
          <w:lang w:val="en-US"/>
        </w:rPr>
        <w:t xml:space="preserve"> was no longer an option</w:t>
      </w:r>
      <w:r w:rsidRPr="00D17995">
        <w:rPr>
          <w:rFonts w:ascii="Tahoma" w:hAnsi="Tahoma" w:cs="Tahoma"/>
          <w:sz w:val="20"/>
          <w:szCs w:val="20"/>
          <w:lang w:val="en-US"/>
        </w:rPr>
        <w:t xml:space="preserve">, sending money </w:t>
      </w:r>
      <w:r w:rsidR="00FE60D6" w:rsidRPr="00D17995">
        <w:rPr>
          <w:rFonts w:ascii="Tahoma" w:hAnsi="Tahoma" w:cs="Tahoma"/>
          <w:sz w:val="20"/>
          <w:szCs w:val="20"/>
          <w:lang w:val="en-US"/>
        </w:rPr>
        <w:t xml:space="preserve">home </w:t>
      </w:r>
      <w:r w:rsidRPr="00D17995">
        <w:rPr>
          <w:rFonts w:ascii="Tahoma" w:hAnsi="Tahoma" w:cs="Tahoma"/>
          <w:sz w:val="20"/>
          <w:szCs w:val="20"/>
          <w:lang w:val="en-US"/>
        </w:rPr>
        <w:t xml:space="preserve">was the only possible way to support one’s family. </w:t>
      </w:r>
      <w:r w:rsidR="000D47C0" w:rsidRPr="00D17995">
        <w:rPr>
          <w:rFonts w:ascii="Tahoma" w:hAnsi="Tahoma" w:cs="Tahoma"/>
          <w:sz w:val="20"/>
          <w:szCs w:val="20"/>
          <w:lang w:val="en-US"/>
        </w:rPr>
        <w:t xml:space="preserve">As a matter of fact, the highest increases were registered </w:t>
      </w:r>
      <w:r w:rsidR="00FE60D6" w:rsidRPr="00D17995">
        <w:rPr>
          <w:rFonts w:ascii="Tahoma" w:hAnsi="Tahoma" w:cs="Tahoma"/>
          <w:sz w:val="20"/>
          <w:szCs w:val="20"/>
          <w:lang w:val="en-US"/>
        </w:rPr>
        <w:t>for</w:t>
      </w:r>
      <w:r w:rsidR="000D47C0" w:rsidRPr="00D17995">
        <w:rPr>
          <w:rFonts w:ascii="Tahoma" w:hAnsi="Tahoma" w:cs="Tahoma"/>
          <w:sz w:val="20"/>
          <w:szCs w:val="20"/>
          <w:lang w:val="en-US"/>
        </w:rPr>
        <w:t xml:space="preserve"> those countries that are usually more easily reachable, </w:t>
      </w:r>
      <w:r w:rsidR="00FE60D6" w:rsidRPr="00D17995">
        <w:rPr>
          <w:rFonts w:ascii="Tahoma" w:hAnsi="Tahoma" w:cs="Tahoma"/>
          <w:sz w:val="20"/>
          <w:szCs w:val="20"/>
          <w:lang w:val="en-US"/>
        </w:rPr>
        <w:t xml:space="preserve">such </w:t>
      </w:r>
      <w:r w:rsidR="000D47C0" w:rsidRPr="00D17995">
        <w:rPr>
          <w:rFonts w:ascii="Tahoma" w:hAnsi="Tahoma" w:cs="Tahoma"/>
          <w:sz w:val="20"/>
          <w:szCs w:val="20"/>
          <w:lang w:val="en-US"/>
        </w:rPr>
        <w:t xml:space="preserve">as East Europe and North Africa.  </w:t>
      </w:r>
    </w:p>
    <w:p w14:paraId="76FDF2B8" w14:textId="603791CF" w:rsidR="009E07A7" w:rsidRPr="00D17995" w:rsidRDefault="000D47C0" w:rsidP="009E07A7">
      <w:pPr>
        <w:spacing w:after="0" w:line="240" w:lineRule="auto"/>
        <w:jc w:val="both"/>
        <w:rPr>
          <w:rFonts w:ascii="Tahoma" w:hAnsi="Tahoma" w:cs="Tahoma"/>
          <w:sz w:val="20"/>
          <w:szCs w:val="20"/>
          <w:lang w:val="en-US"/>
        </w:rPr>
      </w:pPr>
      <w:r w:rsidRPr="00D17995">
        <w:rPr>
          <w:rFonts w:ascii="Tahoma" w:hAnsi="Tahoma" w:cs="Tahoma"/>
          <w:sz w:val="20"/>
          <w:szCs w:val="20"/>
          <w:lang w:val="en-US"/>
        </w:rPr>
        <w:t xml:space="preserve">Moreover, countries of origin, too, have suffered from the consequences of the pandemic, thus asking their emigrants </w:t>
      </w:r>
      <w:r w:rsidR="00FE60D6" w:rsidRPr="00D17995">
        <w:rPr>
          <w:rFonts w:ascii="Tahoma" w:hAnsi="Tahoma" w:cs="Tahoma"/>
          <w:sz w:val="20"/>
          <w:szCs w:val="20"/>
          <w:lang w:val="en-US"/>
        </w:rPr>
        <w:t xml:space="preserve">for </w:t>
      </w:r>
      <w:r w:rsidRPr="00D17995">
        <w:rPr>
          <w:rFonts w:ascii="Tahoma" w:hAnsi="Tahoma" w:cs="Tahoma"/>
          <w:sz w:val="20"/>
          <w:szCs w:val="20"/>
          <w:lang w:val="en-US"/>
        </w:rPr>
        <w:t xml:space="preserve">a greater effort in terms of economic support. </w:t>
      </w:r>
    </w:p>
    <w:p w14:paraId="075573FC" w14:textId="77777777" w:rsidR="009E07A7" w:rsidRPr="00D17995" w:rsidRDefault="009E07A7" w:rsidP="009E07A7">
      <w:pPr>
        <w:spacing w:after="0" w:line="240" w:lineRule="auto"/>
        <w:rPr>
          <w:rFonts w:ascii="Tahoma" w:hAnsi="Tahoma" w:cs="Tahoma"/>
          <w:sz w:val="20"/>
          <w:szCs w:val="20"/>
          <w:lang w:val="en-US"/>
        </w:rPr>
      </w:pPr>
    </w:p>
    <w:p w14:paraId="744F36D4" w14:textId="348141F3" w:rsidR="0052543D" w:rsidRPr="00D17995" w:rsidRDefault="0052543D" w:rsidP="0052543D">
      <w:pPr>
        <w:pStyle w:val="Paragrafoelenco"/>
        <w:numPr>
          <w:ilvl w:val="0"/>
          <w:numId w:val="8"/>
        </w:numPr>
        <w:spacing w:after="0" w:line="240" w:lineRule="auto"/>
        <w:ind w:left="284" w:hanging="284"/>
        <w:rPr>
          <w:rFonts w:ascii="Tahoma" w:hAnsi="Tahoma" w:cs="Tahoma"/>
          <w:b/>
          <w:color w:val="auto"/>
          <w:sz w:val="20"/>
          <w:szCs w:val="20"/>
          <w:lang w:val="en-US"/>
        </w:rPr>
      </w:pPr>
      <w:r w:rsidRPr="00D17995">
        <w:rPr>
          <w:rFonts w:ascii="Tahoma" w:hAnsi="Tahoma" w:cs="Tahoma"/>
          <w:b/>
          <w:color w:val="auto"/>
          <w:sz w:val="20"/>
          <w:szCs w:val="20"/>
          <w:lang w:val="en-US"/>
        </w:rPr>
        <w:t>Integra</w:t>
      </w:r>
      <w:r w:rsidR="00992C9C" w:rsidRPr="00D17995">
        <w:rPr>
          <w:rFonts w:ascii="Tahoma" w:hAnsi="Tahoma" w:cs="Tahoma"/>
          <w:b/>
          <w:color w:val="auto"/>
          <w:sz w:val="20"/>
          <w:szCs w:val="20"/>
          <w:lang w:val="en-US"/>
        </w:rPr>
        <w:t>tion and perception</w:t>
      </w:r>
    </w:p>
    <w:p w14:paraId="1DF74A45" w14:textId="77777777" w:rsidR="0052543D" w:rsidRPr="00D17995" w:rsidRDefault="0052543D" w:rsidP="0052543D">
      <w:pPr>
        <w:spacing w:after="0" w:line="240" w:lineRule="auto"/>
        <w:rPr>
          <w:rFonts w:ascii="Tahoma" w:hAnsi="Tahoma" w:cs="Tahoma"/>
          <w:i/>
          <w:color w:val="auto"/>
          <w:sz w:val="20"/>
          <w:szCs w:val="20"/>
          <w:lang w:val="en-US"/>
        </w:rPr>
      </w:pPr>
    </w:p>
    <w:p w14:paraId="32E8F83B" w14:textId="2FD9CCDA" w:rsidR="0052543D" w:rsidRPr="00D17995" w:rsidRDefault="000D47C0" w:rsidP="001B2337">
      <w:pPr>
        <w:spacing w:after="0" w:line="240" w:lineRule="auto"/>
        <w:jc w:val="both"/>
        <w:rPr>
          <w:rFonts w:ascii="Tahoma" w:hAnsi="Tahoma" w:cs="Tahoma"/>
          <w:sz w:val="20"/>
          <w:szCs w:val="20"/>
          <w:lang w:val="en-US"/>
        </w:rPr>
      </w:pPr>
      <w:r w:rsidRPr="00D17995">
        <w:rPr>
          <w:rFonts w:ascii="Tahoma" w:hAnsi="Tahoma" w:cs="Tahoma"/>
          <w:sz w:val="20"/>
          <w:szCs w:val="20"/>
          <w:lang w:val="en-US"/>
        </w:rPr>
        <w:t xml:space="preserve">The </w:t>
      </w:r>
      <w:r w:rsidR="001B2337" w:rsidRPr="00D17995">
        <w:rPr>
          <w:rFonts w:ascii="Tahoma" w:hAnsi="Tahoma" w:cs="Tahoma"/>
          <w:sz w:val="20"/>
          <w:szCs w:val="20"/>
          <w:lang w:val="en-US"/>
        </w:rPr>
        <w:t>“integra</w:t>
      </w:r>
      <w:r w:rsidRPr="00D17995">
        <w:rPr>
          <w:rFonts w:ascii="Tahoma" w:hAnsi="Tahoma" w:cs="Tahoma"/>
          <w:sz w:val="20"/>
          <w:szCs w:val="20"/>
          <w:lang w:val="en-US"/>
        </w:rPr>
        <w:t>tion” concept</w:t>
      </w:r>
      <w:r w:rsidR="001B2337" w:rsidRPr="00D17995">
        <w:rPr>
          <w:rFonts w:ascii="Tahoma" w:hAnsi="Tahoma" w:cs="Tahoma"/>
          <w:sz w:val="20"/>
          <w:szCs w:val="20"/>
          <w:lang w:val="en-US"/>
        </w:rPr>
        <w:t xml:space="preserve"> </w:t>
      </w:r>
      <w:r w:rsidRPr="00D17995">
        <w:rPr>
          <w:rFonts w:ascii="Tahoma" w:hAnsi="Tahoma" w:cs="Tahoma"/>
          <w:sz w:val="20"/>
          <w:szCs w:val="20"/>
          <w:lang w:val="en-US"/>
        </w:rPr>
        <w:t>can be subject to different declinations and interpretations. In the “Integrated multi-annual work, integration and inclusion programming 2021-2027”</w:t>
      </w:r>
      <w:r w:rsidRPr="00D17995">
        <w:rPr>
          <w:rStyle w:val="Rimandonotaapidipagina"/>
          <w:rFonts w:ascii="Tahoma" w:hAnsi="Tahoma" w:cs="Tahoma"/>
          <w:sz w:val="20"/>
          <w:szCs w:val="20"/>
          <w:lang w:val="en-US"/>
        </w:rPr>
        <w:footnoteReference w:id="1"/>
      </w:r>
      <w:r w:rsidRPr="00D17995">
        <w:rPr>
          <w:rFonts w:ascii="Tahoma" w:hAnsi="Tahoma" w:cs="Tahoma"/>
          <w:sz w:val="20"/>
          <w:szCs w:val="20"/>
          <w:lang w:val="en-US"/>
        </w:rPr>
        <w:t xml:space="preserve">, the Ministry of Labor and Social Policies </w:t>
      </w:r>
      <w:r w:rsidRPr="00D17995">
        <w:rPr>
          <w:rFonts w:ascii="Tahoma" w:hAnsi="Tahoma" w:cs="Tahoma"/>
          <w:sz w:val="20"/>
          <w:szCs w:val="20"/>
          <w:lang w:val="en-US"/>
        </w:rPr>
        <w:lastRenderedPageBreak/>
        <w:t>identifies seven main courses of action: 1) cooperation among actors of integration; 2) dignified labor; 3) social and working placement for vul</w:t>
      </w:r>
      <w:r w:rsidR="00B82B09" w:rsidRPr="00D17995">
        <w:rPr>
          <w:rFonts w:ascii="Tahoma" w:hAnsi="Tahoma" w:cs="Tahoma"/>
          <w:sz w:val="20"/>
          <w:szCs w:val="20"/>
          <w:lang w:val="en-US"/>
        </w:rPr>
        <w:t>n</w:t>
      </w:r>
      <w:r w:rsidRPr="00D17995">
        <w:rPr>
          <w:rFonts w:ascii="Tahoma" w:hAnsi="Tahoma" w:cs="Tahoma"/>
          <w:sz w:val="20"/>
          <w:szCs w:val="20"/>
          <w:lang w:val="en-US"/>
        </w:rPr>
        <w:t xml:space="preserve">erable immigrants; 4) </w:t>
      </w:r>
      <w:r w:rsidR="00597E21" w:rsidRPr="00D17995">
        <w:rPr>
          <w:rFonts w:ascii="Tahoma" w:hAnsi="Tahoma" w:cs="Tahoma"/>
          <w:sz w:val="20"/>
          <w:szCs w:val="20"/>
          <w:lang w:val="en-US"/>
        </w:rPr>
        <w:t>youths and workers</w:t>
      </w:r>
      <w:r w:rsidR="00B82B09" w:rsidRPr="00D17995">
        <w:rPr>
          <w:rFonts w:ascii="Tahoma" w:hAnsi="Tahoma" w:cs="Tahoma"/>
          <w:sz w:val="20"/>
          <w:szCs w:val="20"/>
          <w:lang w:val="en-US"/>
        </w:rPr>
        <w:t xml:space="preserve">’ potential; </w:t>
      </w:r>
      <w:r w:rsidR="001B2337" w:rsidRPr="00D17995">
        <w:rPr>
          <w:rFonts w:ascii="Tahoma" w:hAnsi="Tahoma" w:cs="Tahoma"/>
          <w:sz w:val="20"/>
          <w:szCs w:val="20"/>
          <w:lang w:val="en-US"/>
        </w:rPr>
        <w:t xml:space="preserve">5) </w:t>
      </w:r>
      <w:r w:rsidR="00B82B09" w:rsidRPr="00D17995">
        <w:rPr>
          <w:rFonts w:ascii="Tahoma" w:hAnsi="Tahoma" w:cs="Tahoma"/>
          <w:sz w:val="20"/>
          <w:szCs w:val="20"/>
          <w:lang w:val="en-US"/>
        </w:rPr>
        <w:t>immigrant women; 6) participation, culture and sport; 7)</w:t>
      </w:r>
      <w:r w:rsidR="001B2337" w:rsidRPr="00D17995">
        <w:rPr>
          <w:rFonts w:ascii="Tahoma" w:hAnsi="Tahoma" w:cs="Tahoma"/>
          <w:sz w:val="20"/>
          <w:szCs w:val="20"/>
          <w:lang w:val="en-US"/>
        </w:rPr>
        <w:t xml:space="preserve"> </w:t>
      </w:r>
      <w:r w:rsidR="00B82B09" w:rsidRPr="00D17995">
        <w:rPr>
          <w:rFonts w:ascii="Tahoma" w:hAnsi="Tahoma" w:cs="Tahoma"/>
          <w:sz w:val="20"/>
          <w:szCs w:val="20"/>
          <w:lang w:val="en-US"/>
        </w:rPr>
        <w:t xml:space="preserve">legal entrance channels. </w:t>
      </w:r>
    </w:p>
    <w:p w14:paraId="2E87CDFF" w14:textId="77777777" w:rsidR="001B2337" w:rsidRPr="00D17995" w:rsidRDefault="001B2337" w:rsidP="001B2337">
      <w:pPr>
        <w:spacing w:after="0" w:line="240" w:lineRule="auto"/>
        <w:jc w:val="both"/>
        <w:rPr>
          <w:rFonts w:ascii="Tahoma" w:hAnsi="Tahoma" w:cs="Tahoma"/>
          <w:sz w:val="20"/>
          <w:szCs w:val="20"/>
          <w:lang w:val="en-US"/>
        </w:rPr>
      </w:pPr>
    </w:p>
    <w:p w14:paraId="2AF66BF5" w14:textId="6D6ACCA3" w:rsidR="001B2337" w:rsidRPr="00D17995" w:rsidRDefault="00B82B09" w:rsidP="001B2337">
      <w:pPr>
        <w:spacing w:after="0" w:line="240" w:lineRule="auto"/>
        <w:jc w:val="both"/>
        <w:rPr>
          <w:rFonts w:ascii="Tahoma" w:hAnsi="Tahoma" w:cs="Tahoma"/>
          <w:sz w:val="20"/>
          <w:szCs w:val="20"/>
          <w:lang w:val="en-US"/>
        </w:rPr>
      </w:pPr>
      <w:r w:rsidRPr="00D17995">
        <w:rPr>
          <w:rFonts w:ascii="Tahoma" w:hAnsi="Tahoma" w:cs="Tahoma"/>
          <w:sz w:val="20"/>
          <w:szCs w:val="20"/>
          <w:lang w:val="en-US"/>
        </w:rPr>
        <w:t xml:space="preserve">Today, school is one of the </w:t>
      </w:r>
      <w:r w:rsidRPr="00D17995">
        <w:rPr>
          <w:rFonts w:ascii="Tahoma" w:hAnsi="Tahoma" w:cs="Tahoma"/>
          <w:i/>
          <w:iCs/>
          <w:sz w:val="20"/>
          <w:szCs w:val="20"/>
          <w:lang w:val="en-US"/>
        </w:rPr>
        <w:t>loci</w:t>
      </w:r>
      <w:r w:rsidRPr="00D17995">
        <w:rPr>
          <w:rFonts w:ascii="Tahoma" w:hAnsi="Tahoma" w:cs="Tahoma"/>
          <w:sz w:val="20"/>
          <w:szCs w:val="20"/>
          <w:lang w:val="en-US"/>
        </w:rPr>
        <w:t xml:space="preserve"> where integration </w:t>
      </w:r>
      <w:r w:rsidR="00FA2498" w:rsidRPr="00D17995">
        <w:rPr>
          <w:rFonts w:ascii="Tahoma" w:hAnsi="Tahoma" w:cs="Tahoma"/>
          <w:sz w:val="20"/>
          <w:szCs w:val="20"/>
          <w:lang w:val="en-US"/>
        </w:rPr>
        <w:t>plays a pivotal role</w:t>
      </w:r>
      <w:r w:rsidR="001B2337" w:rsidRPr="00D17995">
        <w:rPr>
          <w:rFonts w:ascii="Tahoma" w:hAnsi="Tahoma" w:cs="Tahoma"/>
          <w:sz w:val="20"/>
          <w:szCs w:val="20"/>
          <w:lang w:val="en-US"/>
        </w:rPr>
        <w:t xml:space="preserve">, </w:t>
      </w:r>
      <w:r w:rsidR="00FE60D6" w:rsidRPr="00D17995">
        <w:rPr>
          <w:rFonts w:ascii="Tahoma" w:hAnsi="Tahoma" w:cs="Tahoma"/>
          <w:sz w:val="20"/>
          <w:szCs w:val="20"/>
          <w:lang w:val="en-US"/>
        </w:rPr>
        <w:t>as we can find</w:t>
      </w:r>
      <w:r w:rsidR="00FA2498" w:rsidRPr="00D17995">
        <w:rPr>
          <w:rFonts w:ascii="Tahoma" w:hAnsi="Tahoma" w:cs="Tahoma"/>
          <w:sz w:val="20"/>
          <w:szCs w:val="20"/>
          <w:lang w:val="en-US"/>
        </w:rPr>
        <w:t xml:space="preserve"> </w:t>
      </w:r>
      <w:r w:rsidR="001B2337" w:rsidRPr="00D17995">
        <w:rPr>
          <w:rFonts w:ascii="Tahoma" w:hAnsi="Tahoma" w:cs="Tahoma"/>
          <w:sz w:val="20"/>
          <w:szCs w:val="20"/>
          <w:lang w:val="en-US"/>
        </w:rPr>
        <w:t xml:space="preserve">877 </w:t>
      </w:r>
      <w:r w:rsidR="00FA2498" w:rsidRPr="00D17995">
        <w:rPr>
          <w:rFonts w:ascii="Tahoma" w:hAnsi="Tahoma" w:cs="Tahoma"/>
          <w:sz w:val="20"/>
          <w:szCs w:val="20"/>
          <w:lang w:val="en-US"/>
        </w:rPr>
        <w:t xml:space="preserve">thousand students with a non-Italian citizenship </w:t>
      </w:r>
      <w:r w:rsidR="001B2337" w:rsidRPr="00D17995">
        <w:rPr>
          <w:rFonts w:ascii="Tahoma" w:hAnsi="Tahoma" w:cs="Tahoma"/>
          <w:sz w:val="20"/>
          <w:szCs w:val="20"/>
          <w:lang w:val="en-US"/>
        </w:rPr>
        <w:t>(10</w:t>
      </w:r>
      <w:r w:rsidR="00FA2498" w:rsidRPr="00D17995">
        <w:rPr>
          <w:rFonts w:ascii="Tahoma" w:hAnsi="Tahoma" w:cs="Tahoma"/>
          <w:sz w:val="20"/>
          <w:szCs w:val="20"/>
          <w:lang w:val="en-US"/>
        </w:rPr>
        <w:t>.</w:t>
      </w:r>
      <w:r w:rsidR="001B2337" w:rsidRPr="00D17995">
        <w:rPr>
          <w:rFonts w:ascii="Tahoma" w:hAnsi="Tahoma" w:cs="Tahoma"/>
          <w:sz w:val="20"/>
          <w:szCs w:val="20"/>
          <w:lang w:val="en-US"/>
        </w:rPr>
        <w:t xml:space="preserve">3% </w:t>
      </w:r>
      <w:r w:rsidR="00FA2498" w:rsidRPr="00D17995">
        <w:rPr>
          <w:rFonts w:ascii="Tahoma" w:hAnsi="Tahoma" w:cs="Tahoma"/>
          <w:sz w:val="20"/>
          <w:szCs w:val="20"/>
          <w:lang w:val="en-US"/>
        </w:rPr>
        <w:t>of the total</w:t>
      </w:r>
      <w:r w:rsidR="001B2337" w:rsidRPr="00D17995">
        <w:rPr>
          <w:rFonts w:ascii="Tahoma" w:hAnsi="Tahoma" w:cs="Tahoma"/>
          <w:sz w:val="20"/>
          <w:szCs w:val="20"/>
          <w:lang w:val="en-US"/>
        </w:rPr>
        <w:t xml:space="preserve">). </w:t>
      </w:r>
      <w:r w:rsidR="00FA2498" w:rsidRPr="00D17995">
        <w:rPr>
          <w:rFonts w:ascii="Tahoma" w:hAnsi="Tahoma" w:cs="Tahoma"/>
          <w:sz w:val="20"/>
          <w:szCs w:val="20"/>
          <w:lang w:val="en-US"/>
        </w:rPr>
        <w:t xml:space="preserve">Among them, </w:t>
      </w:r>
      <w:r w:rsidR="001B2337" w:rsidRPr="00D17995">
        <w:rPr>
          <w:rFonts w:ascii="Tahoma" w:hAnsi="Tahoma" w:cs="Tahoma"/>
          <w:sz w:val="20"/>
          <w:szCs w:val="20"/>
          <w:lang w:val="en-US"/>
        </w:rPr>
        <w:t xml:space="preserve">65% </w:t>
      </w:r>
      <w:r w:rsidR="00FE60D6" w:rsidRPr="00D17995">
        <w:rPr>
          <w:rFonts w:ascii="Tahoma" w:hAnsi="Tahoma" w:cs="Tahoma"/>
          <w:sz w:val="20"/>
          <w:szCs w:val="20"/>
          <w:lang w:val="en-US"/>
        </w:rPr>
        <w:t>are</w:t>
      </w:r>
      <w:r w:rsidR="00FA2498" w:rsidRPr="00D17995">
        <w:rPr>
          <w:rFonts w:ascii="Tahoma" w:hAnsi="Tahoma" w:cs="Tahoma"/>
          <w:sz w:val="20"/>
          <w:szCs w:val="20"/>
          <w:lang w:val="en-US"/>
        </w:rPr>
        <w:t xml:space="preserve"> born in Italy but are considered “foreigners” due to the current Law on citizenship, dating back to 1992. </w:t>
      </w:r>
    </w:p>
    <w:p w14:paraId="4A9851F2" w14:textId="77777777" w:rsidR="001B2337" w:rsidRPr="00D17995" w:rsidRDefault="001B2337" w:rsidP="001B2337">
      <w:pPr>
        <w:spacing w:after="0" w:line="240" w:lineRule="auto"/>
        <w:jc w:val="both"/>
        <w:rPr>
          <w:rFonts w:ascii="Tahoma" w:hAnsi="Tahoma" w:cs="Tahoma"/>
          <w:sz w:val="20"/>
          <w:szCs w:val="20"/>
          <w:lang w:val="en-US"/>
        </w:rPr>
      </w:pPr>
    </w:p>
    <w:p w14:paraId="508C96BE" w14:textId="36408309" w:rsidR="001B2337" w:rsidRPr="00D17995" w:rsidRDefault="00FA2498" w:rsidP="001B2337">
      <w:pPr>
        <w:spacing w:after="0" w:line="240" w:lineRule="auto"/>
        <w:jc w:val="both"/>
        <w:rPr>
          <w:rFonts w:ascii="Tahoma" w:hAnsi="Tahoma" w:cs="Tahoma"/>
          <w:sz w:val="20"/>
          <w:szCs w:val="20"/>
          <w:lang w:val="en-US"/>
        </w:rPr>
      </w:pPr>
      <w:r w:rsidRPr="00D17995">
        <w:rPr>
          <w:rFonts w:ascii="Tahoma" w:hAnsi="Tahoma" w:cs="Tahoma"/>
          <w:sz w:val="20"/>
          <w:szCs w:val="20"/>
          <w:lang w:val="en-US"/>
        </w:rPr>
        <w:t xml:space="preserve">In Italian cities, especially in Center-North, multiethnicity is already a fact: the steady presence of immigrants and their integration in the productive and economic system prove that the concretization of a “melting pot” has anticipated any legislative initiative. </w:t>
      </w:r>
    </w:p>
    <w:p w14:paraId="3C7FCB18" w14:textId="79C8D948" w:rsidR="001B2337" w:rsidRPr="00D17995" w:rsidRDefault="00FA2498" w:rsidP="001B2337">
      <w:pPr>
        <w:spacing w:after="0" w:line="240" w:lineRule="auto"/>
        <w:jc w:val="both"/>
        <w:rPr>
          <w:rFonts w:ascii="Tahoma" w:hAnsi="Tahoma" w:cs="Tahoma"/>
          <w:sz w:val="20"/>
          <w:szCs w:val="20"/>
          <w:lang w:val="en-US"/>
        </w:rPr>
      </w:pPr>
      <w:r w:rsidRPr="00D17995">
        <w:rPr>
          <w:rFonts w:ascii="Tahoma" w:hAnsi="Tahoma" w:cs="Tahoma"/>
          <w:sz w:val="20"/>
          <w:szCs w:val="20"/>
          <w:lang w:val="en-US"/>
        </w:rPr>
        <w:t>Nevertheless, strong inequalities and discriminations still persist, as proven by the consumption patterns and expenditure capacities.</w:t>
      </w:r>
    </w:p>
    <w:p w14:paraId="0D9F29EB" w14:textId="77777777" w:rsidR="001B2337" w:rsidRPr="00D17995" w:rsidRDefault="001B2337" w:rsidP="001B2337">
      <w:pPr>
        <w:spacing w:after="0" w:line="240" w:lineRule="auto"/>
        <w:jc w:val="both"/>
        <w:rPr>
          <w:rFonts w:ascii="Tahoma" w:hAnsi="Tahoma" w:cs="Tahoma"/>
          <w:sz w:val="20"/>
          <w:szCs w:val="20"/>
          <w:lang w:val="en-US"/>
        </w:rPr>
      </w:pPr>
    </w:p>
    <w:p w14:paraId="2E17D9D0" w14:textId="6E54D26D" w:rsidR="0052543D" w:rsidRPr="00D17995" w:rsidRDefault="0052543D" w:rsidP="0052543D">
      <w:pPr>
        <w:spacing w:after="0" w:line="240" w:lineRule="auto"/>
        <w:rPr>
          <w:rFonts w:ascii="Tahoma" w:hAnsi="Tahoma" w:cs="Tahoma"/>
          <w:b/>
          <w:color w:val="auto"/>
          <w:sz w:val="20"/>
          <w:szCs w:val="20"/>
          <w:lang w:val="en-US"/>
        </w:rPr>
      </w:pPr>
      <w:r w:rsidRPr="00D17995">
        <w:rPr>
          <w:rFonts w:ascii="Tahoma" w:hAnsi="Tahoma" w:cs="Tahoma"/>
          <w:b/>
          <w:color w:val="auto"/>
          <w:sz w:val="20"/>
          <w:szCs w:val="20"/>
          <w:lang w:val="en-US"/>
        </w:rPr>
        <w:t>Conclusion</w:t>
      </w:r>
      <w:r w:rsidR="00992C9C" w:rsidRPr="00D17995">
        <w:rPr>
          <w:rFonts w:ascii="Tahoma" w:hAnsi="Tahoma" w:cs="Tahoma"/>
          <w:b/>
          <w:color w:val="auto"/>
          <w:sz w:val="20"/>
          <w:szCs w:val="20"/>
          <w:lang w:val="en-US"/>
        </w:rPr>
        <w:t>s</w:t>
      </w:r>
    </w:p>
    <w:p w14:paraId="640BD84D" w14:textId="77777777" w:rsidR="0052543D" w:rsidRPr="00D17995" w:rsidRDefault="0052543D" w:rsidP="0052543D">
      <w:pPr>
        <w:spacing w:after="0" w:line="240" w:lineRule="auto"/>
        <w:rPr>
          <w:rFonts w:ascii="Tahoma" w:hAnsi="Tahoma" w:cs="Tahoma"/>
          <w:sz w:val="20"/>
          <w:szCs w:val="20"/>
          <w:lang w:val="en-US"/>
        </w:rPr>
      </w:pPr>
    </w:p>
    <w:p w14:paraId="3575F6B6" w14:textId="24757F14" w:rsidR="004A2036" w:rsidRPr="00D17995" w:rsidRDefault="00FA2498" w:rsidP="0052543D">
      <w:pPr>
        <w:spacing w:after="0" w:line="240" w:lineRule="auto"/>
        <w:rPr>
          <w:rFonts w:ascii="Tahoma" w:hAnsi="Tahoma" w:cs="Tahoma"/>
          <w:sz w:val="20"/>
          <w:szCs w:val="20"/>
          <w:lang w:val="en-US"/>
        </w:rPr>
      </w:pPr>
      <w:r w:rsidRPr="00D17995">
        <w:rPr>
          <w:rFonts w:ascii="Tahoma" w:hAnsi="Tahoma" w:cs="Tahoma"/>
          <w:sz w:val="20"/>
          <w:szCs w:val="20"/>
          <w:lang w:val="en-US"/>
        </w:rPr>
        <w:t>In</w:t>
      </w:r>
      <w:r w:rsidR="004A2036" w:rsidRPr="00D17995">
        <w:rPr>
          <w:rFonts w:ascii="Tahoma" w:hAnsi="Tahoma" w:cs="Tahoma"/>
          <w:sz w:val="20"/>
          <w:szCs w:val="20"/>
          <w:lang w:val="en-US"/>
        </w:rPr>
        <w:t xml:space="preserve"> 2021</w:t>
      </w:r>
      <w:r w:rsidRPr="00D17995">
        <w:rPr>
          <w:rFonts w:ascii="Tahoma" w:hAnsi="Tahoma" w:cs="Tahoma"/>
          <w:sz w:val="20"/>
          <w:szCs w:val="20"/>
          <w:lang w:val="en-US"/>
        </w:rPr>
        <w:t xml:space="preserve">, Italy registered a rise of </w:t>
      </w:r>
      <w:r w:rsidR="0050576C" w:rsidRPr="00D17995">
        <w:rPr>
          <w:rFonts w:ascii="Tahoma" w:hAnsi="Tahoma" w:cs="Tahoma"/>
          <w:sz w:val="20"/>
          <w:szCs w:val="20"/>
          <w:lang w:val="en-US"/>
        </w:rPr>
        <w:t>r</w:t>
      </w:r>
      <w:r w:rsidRPr="00D17995">
        <w:rPr>
          <w:rFonts w:ascii="Tahoma" w:hAnsi="Tahoma" w:cs="Tahoma"/>
          <w:sz w:val="20"/>
          <w:szCs w:val="20"/>
          <w:lang w:val="en-US"/>
        </w:rPr>
        <w:t xml:space="preserve">esidence permits and, in particular, of </w:t>
      </w:r>
      <w:r w:rsidR="0050576C" w:rsidRPr="00D17995">
        <w:rPr>
          <w:rFonts w:ascii="Tahoma" w:hAnsi="Tahoma" w:cs="Tahoma"/>
          <w:sz w:val="20"/>
          <w:szCs w:val="20"/>
          <w:lang w:val="en-US"/>
        </w:rPr>
        <w:t>w</w:t>
      </w:r>
      <w:r w:rsidRPr="00D17995">
        <w:rPr>
          <w:rFonts w:ascii="Tahoma" w:hAnsi="Tahoma" w:cs="Tahoma"/>
          <w:sz w:val="20"/>
          <w:szCs w:val="20"/>
          <w:lang w:val="en-US"/>
        </w:rPr>
        <w:t xml:space="preserve">orking permits, which stretched from </w:t>
      </w:r>
      <w:r w:rsidR="00196B31" w:rsidRPr="00D17995">
        <w:rPr>
          <w:rFonts w:ascii="Tahoma" w:hAnsi="Tahoma" w:cs="Tahoma"/>
          <w:sz w:val="20"/>
          <w:szCs w:val="20"/>
          <w:lang w:val="en-US"/>
        </w:rPr>
        <w:t xml:space="preserve">about 10 thousand in 2020 to over 50 thousand. </w:t>
      </w:r>
      <w:r w:rsidR="00506FB0" w:rsidRPr="00D17995">
        <w:rPr>
          <w:rFonts w:ascii="Tahoma" w:hAnsi="Tahoma" w:cs="Tahoma"/>
          <w:sz w:val="20"/>
          <w:szCs w:val="20"/>
          <w:lang w:val="en-US"/>
        </w:rPr>
        <w:t>I</w:t>
      </w:r>
      <w:r w:rsidR="00196B31" w:rsidRPr="00D17995">
        <w:rPr>
          <w:rFonts w:ascii="Tahoma" w:hAnsi="Tahoma" w:cs="Tahoma"/>
          <w:sz w:val="20"/>
          <w:szCs w:val="20"/>
          <w:lang w:val="en-US"/>
        </w:rPr>
        <w:t xml:space="preserve">n relative terms, </w:t>
      </w:r>
      <w:r w:rsidR="00506FB0" w:rsidRPr="00D17995">
        <w:rPr>
          <w:rFonts w:ascii="Tahoma" w:hAnsi="Tahoma" w:cs="Tahoma"/>
          <w:sz w:val="20"/>
          <w:szCs w:val="20"/>
          <w:lang w:val="en-US"/>
        </w:rPr>
        <w:t xml:space="preserve">too, </w:t>
      </w:r>
      <w:r w:rsidR="00196B31" w:rsidRPr="00D17995">
        <w:rPr>
          <w:rFonts w:ascii="Tahoma" w:hAnsi="Tahoma" w:cs="Tahoma"/>
          <w:sz w:val="20"/>
          <w:szCs w:val="20"/>
          <w:lang w:val="en-US"/>
        </w:rPr>
        <w:t>working permits went from 9.7% to 18.5% of the total issued permits. Although family reunification permits embod</w:t>
      </w:r>
      <w:r w:rsidR="0050576C" w:rsidRPr="00D17995">
        <w:rPr>
          <w:rFonts w:ascii="Tahoma" w:hAnsi="Tahoma" w:cs="Tahoma"/>
          <w:sz w:val="20"/>
          <w:szCs w:val="20"/>
          <w:lang w:val="en-US"/>
        </w:rPr>
        <w:t>y</w:t>
      </w:r>
      <w:r w:rsidR="00196B31" w:rsidRPr="00D17995">
        <w:rPr>
          <w:rFonts w:ascii="Tahoma" w:hAnsi="Tahoma" w:cs="Tahoma"/>
          <w:sz w:val="20"/>
          <w:szCs w:val="20"/>
          <w:lang w:val="en-US"/>
        </w:rPr>
        <w:t xml:space="preserve"> the most consistent component, the increasing figure of working permits are a </w:t>
      </w:r>
      <w:r w:rsidR="00060F60" w:rsidRPr="00D17995">
        <w:rPr>
          <w:rFonts w:ascii="Tahoma" w:hAnsi="Tahoma" w:cs="Tahoma"/>
          <w:sz w:val="20"/>
          <w:szCs w:val="20"/>
          <w:lang w:val="en-US"/>
        </w:rPr>
        <w:t>tell-tale sign regarding the needs of the</w:t>
      </w:r>
      <w:r w:rsidR="0050576C" w:rsidRPr="00D17995">
        <w:rPr>
          <w:rFonts w:ascii="Tahoma" w:hAnsi="Tahoma" w:cs="Tahoma"/>
          <w:sz w:val="20"/>
          <w:szCs w:val="20"/>
          <w:lang w:val="en-US"/>
        </w:rPr>
        <w:t xml:space="preserve"> national</w:t>
      </w:r>
      <w:r w:rsidR="00060F60" w:rsidRPr="00D17995">
        <w:rPr>
          <w:rFonts w:ascii="Tahoma" w:hAnsi="Tahoma" w:cs="Tahoma"/>
          <w:sz w:val="20"/>
          <w:szCs w:val="20"/>
          <w:lang w:val="en-US"/>
        </w:rPr>
        <w:t xml:space="preserve"> productive sectors. </w:t>
      </w:r>
    </w:p>
    <w:p w14:paraId="09867DCF" w14:textId="77777777" w:rsidR="004A2036" w:rsidRPr="00D17995" w:rsidRDefault="004A2036" w:rsidP="0052543D">
      <w:pPr>
        <w:spacing w:after="0" w:line="240" w:lineRule="auto"/>
        <w:rPr>
          <w:rFonts w:ascii="Tahoma" w:hAnsi="Tahoma" w:cs="Tahoma"/>
          <w:sz w:val="20"/>
          <w:szCs w:val="20"/>
          <w:lang w:val="en-US"/>
        </w:rPr>
      </w:pPr>
    </w:p>
    <w:p w14:paraId="079531F0" w14:textId="4059990B" w:rsidR="0052543D" w:rsidRPr="00D17995" w:rsidRDefault="00060F60" w:rsidP="0052543D">
      <w:pPr>
        <w:spacing w:after="120" w:line="240" w:lineRule="auto"/>
        <w:jc w:val="both"/>
        <w:rPr>
          <w:rFonts w:ascii="Tahoma" w:hAnsi="Tahoma" w:cs="Tahoma"/>
          <w:sz w:val="20"/>
          <w:szCs w:val="20"/>
          <w:lang w:val="en-US"/>
        </w:rPr>
      </w:pPr>
      <w:r w:rsidRPr="00D17995">
        <w:rPr>
          <w:rFonts w:ascii="Tahoma" w:hAnsi="Tahoma" w:cs="Tahoma"/>
          <w:sz w:val="20"/>
          <w:szCs w:val="20"/>
          <w:lang w:val="en-US"/>
        </w:rPr>
        <w:t>Lastly, the undergoing war in Ukraine has on Italy</w:t>
      </w:r>
      <w:r w:rsidR="0050576C" w:rsidRPr="00D17995">
        <w:rPr>
          <w:rFonts w:ascii="Tahoma" w:hAnsi="Tahoma" w:cs="Tahoma"/>
          <w:sz w:val="20"/>
          <w:szCs w:val="20"/>
          <w:lang w:val="en-US"/>
        </w:rPr>
        <w:t xml:space="preserve"> needs to be </w:t>
      </w:r>
      <w:r w:rsidR="00DE23EC" w:rsidRPr="00D17995">
        <w:rPr>
          <w:rFonts w:ascii="Tahoma" w:hAnsi="Tahoma" w:cs="Tahoma"/>
          <w:sz w:val="20"/>
          <w:szCs w:val="20"/>
          <w:lang w:val="en-US"/>
        </w:rPr>
        <w:t>observed</w:t>
      </w:r>
      <w:r w:rsidR="0050576C" w:rsidRPr="00D17995">
        <w:rPr>
          <w:rFonts w:ascii="Tahoma" w:hAnsi="Tahoma" w:cs="Tahoma"/>
          <w:sz w:val="20"/>
          <w:szCs w:val="20"/>
          <w:lang w:val="en-US"/>
        </w:rPr>
        <w:t xml:space="preserve"> from different perspectives</w:t>
      </w:r>
      <w:r w:rsidRPr="00D17995">
        <w:rPr>
          <w:rFonts w:ascii="Tahoma" w:hAnsi="Tahoma" w:cs="Tahoma"/>
          <w:sz w:val="20"/>
          <w:szCs w:val="20"/>
          <w:lang w:val="en-US"/>
        </w:rPr>
        <w:t>.</w:t>
      </w:r>
      <w:r w:rsidR="00506FB0" w:rsidRPr="00D17995">
        <w:rPr>
          <w:rFonts w:ascii="Tahoma" w:hAnsi="Tahoma" w:cs="Tahoma"/>
          <w:sz w:val="20"/>
          <w:szCs w:val="20"/>
          <w:lang w:val="en-US"/>
        </w:rPr>
        <w:t xml:space="preserve"> T</w:t>
      </w:r>
      <w:r w:rsidRPr="00D17995">
        <w:rPr>
          <w:rFonts w:ascii="Tahoma" w:hAnsi="Tahoma" w:cs="Tahoma"/>
          <w:sz w:val="20"/>
          <w:szCs w:val="20"/>
          <w:lang w:val="en-US"/>
        </w:rPr>
        <w:t>here are issues such as</w:t>
      </w:r>
      <w:r w:rsidR="00DE23EC" w:rsidRPr="00D17995">
        <w:rPr>
          <w:rFonts w:ascii="Tahoma" w:hAnsi="Tahoma" w:cs="Tahoma"/>
          <w:sz w:val="20"/>
          <w:szCs w:val="20"/>
          <w:lang w:val="en-US"/>
        </w:rPr>
        <w:t xml:space="preserve"> the</w:t>
      </w:r>
      <w:r w:rsidRPr="00D17995">
        <w:rPr>
          <w:rFonts w:ascii="Tahoma" w:hAnsi="Tahoma" w:cs="Tahoma"/>
          <w:sz w:val="20"/>
          <w:szCs w:val="20"/>
          <w:lang w:val="en-US"/>
        </w:rPr>
        <w:t xml:space="preserve"> refugees’ reception and their settling down in the territory. With an already </w:t>
      </w:r>
      <w:r w:rsidR="00DE23EC" w:rsidRPr="00D17995">
        <w:rPr>
          <w:rFonts w:ascii="Tahoma" w:hAnsi="Tahoma" w:cs="Tahoma"/>
          <w:sz w:val="20"/>
          <w:szCs w:val="20"/>
          <w:lang w:val="en-US"/>
        </w:rPr>
        <w:t>sizeable</w:t>
      </w:r>
      <w:r w:rsidRPr="00D17995">
        <w:rPr>
          <w:rFonts w:ascii="Tahoma" w:hAnsi="Tahoma" w:cs="Tahoma"/>
          <w:sz w:val="20"/>
          <w:szCs w:val="20"/>
          <w:lang w:val="en-US"/>
        </w:rPr>
        <w:t xml:space="preserve"> presence of Ukrainian citizens </w:t>
      </w:r>
      <w:r w:rsidR="0052543D" w:rsidRPr="00D17995">
        <w:rPr>
          <w:rFonts w:ascii="Tahoma" w:hAnsi="Tahoma" w:cs="Tahoma"/>
          <w:sz w:val="20"/>
          <w:szCs w:val="20"/>
          <w:lang w:val="en-US"/>
        </w:rPr>
        <w:t xml:space="preserve">(236 </w:t>
      </w:r>
      <w:r w:rsidRPr="00D17995">
        <w:rPr>
          <w:rFonts w:ascii="Tahoma" w:hAnsi="Tahoma" w:cs="Tahoma"/>
          <w:sz w:val="20"/>
          <w:szCs w:val="20"/>
          <w:lang w:val="en-US"/>
        </w:rPr>
        <w:t xml:space="preserve">thousand in </w:t>
      </w:r>
      <w:r w:rsidR="0052543D" w:rsidRPr="00D17995">
        <w:rPr>
          <w:rFonts w:ascii="Tahoma" w:hAnsi="Tahoma" w:cs="Tahoma"/>
          <w:sz w:val="20"/>
          <w:szCs w:val="20"/>
          <w:lang w:val="en-US"/>
        </w:rPr>
        <w:t xml:space="preserve">2021, </w:t>
      </w:r>
      <w:r w:rsidRPr="00D17995">
        <w:rPr>
          <w:rFonts w:ascii="Tahoma" w:hAnsi="Tahoma" w:cs="Tahoma"/>
          <w:sz w:val="20"/>
          <w:szCs w:val="20"/>
          <w:lang w:val="en-US"/>
        </w:rPr>
        <w:t xml:space="preserve">of whom almost </w:t>
      </w:r>
      <w:r w:rsidR="0052543D" w:rsidRPr="00D17995">
        <w:rPr>
          <w:rFonts w:ascii="Tahoma" w:hAnsi="Tahoma" w:cs="Tahoma"/>
          <w:sz w:val="20"/>
          <w:szCs w:val="20"/>
          <w:lang w:val="en-US"/>
        </w:rPr>
        <w:t xml:space="preserve">80% </w:t>
      </w:r>
      <w:r w:rsidRPr="00D17995">
        <w:rPr>
          <w:rFonts w:ascii="Tahoma" w:hAnsi="Tahoma" w:cs="Tahoma"/>
          <w:sz w:val="20"/>
          <w:szCs w:val="20"/>
          <w:lang w:val="en-US"/>
        </w:rPr>
        <w:t>women</w:t>
      </w:r>
      <w:r w:rsidR="0052543D" w:rsidRPr="00D17995">
        <w:rPr>
          <w:rFonts w:ascii="Tahoma" w:hAnsi="Tahoma" w:cs="Tahoma"/>
          <w:sz w:val="20"/>
          <w:szCs w:val="20"/>
          <w:lang w:val="en-US"/>
        </w:rPr>
        <w:t xml:space="preserve">), </w:t>
      </w:r>
      <w:r w:rsidRPr="00D17995">
        <w:rPr>
          <w:rFonts w:ascii="Tahoma" w:hAnsi="Tahoma" w:cs="Tahoma"/>
          <w:sz w:val="20"/>
          <w:szCs w:val="20"/>
          <w:lang w:val="en-US"/>
        </w:rPr>
        <w:t xml:space="preserve">Italy has been one of the most responsive </w:t>
      </w:r>
      <w:r w:rsidR="00635DEA" w:rsidRPr="00D17995">
        <w:rPr>
          <w:rFonts w:ascii="Tahoma" w:hAnsi="Tahoma" w:cs="Tahoma"/>
          <w:sz w:val="20"/>
          <w:szCs w:val="20"/>
          <w:lang w:val="en-US"/>
        </w:rPr>
        <w:t>countries</w:t>
      </w:r>
      <w:r w:rsidRPr="00D17995">
        <w:rPr>
          <w:rFonts w:ascii="Tahoma" w:hAnsi="Tahoma" w:cs="Tahoma"/>
          <w:sz w:val="20"/>
          <w:szCs w:val="20"/>
          <w:lang w:val="en-US"/>
        </w:rPr>
        <w:t xml:space="preserve"> in the first phase of the emergency as it received more than 120 thousand people </w:t>
      </w:r>
      <w:r w:rsidR="00DE23EC" w:rsidRPr="00D17995">
        <w:rPr>
          <w:rFonts w:ascii="Tahoma" w:hAnsi="Tahoma" w:cs="Tahoma"/>
          <w:sz w:val="20"/>
          <w:szCs w:val="20"/>
          <w:lang w:val="en-US"/>
        </w:rPr>
        <w:t xml:space="preserve">fleeing from the conflict area </w:t>
      </w:r>
      <w:r w:rsidR="00635DEA" w:rsidRPr="00D17995">
        <w:rPr>
          <w:rFonts w:ascii="Tahoma" w:hAnsi="Tahoma" w:cs="Tahoma"/>
          <w:sz w:val="20"/>
          <w:szCs w:val="20"/>
          <w:lang w:val="en-US"/>
        </w:rPr>
        <w:t xml:space="preserve">from February to May 2022. </w:t>
      </w:r>
    </w:p>
    <w:p w14:paraId="01A97F76" w14:textId="176CB49D" w:rsidR="0052543D" w:rsidRPr="00D17995" w:rsidRDefault="00635DEA" w:rsidP="0052543D">
      <w:pPr>
        <w:spacing w:after="120" w:line="240" w:lineRule="auto"/>
        <w:jc w:val="both"/>
        <w:rPr>
          <w:rFonts w:ascii="Tahoma" w:hAnsi="Tahoma" w:cs="Tahoma"/>
          <w:sz w:val="20"/>
          <w:szCs w:val="20"/>
          <w:lang w:val="en-US"/>
        </w:rPr>
      </w:pPr>
      <w:r w:rsidRPr="00D17995">
        <w:rPr>
          <w:rFonts w:ascii="Tahoma" w:hAnsi="Tahoma" w:cs="Tahoma"/>
          <w:sz w:val="20"/>
          <w:szCs w:val="20"/>
          <w:lang w:val="en-US"/>
        </w:rPr>
        <w:t>However, this first phase has been mainly managed by the effort of third-sector associations and Ukrainian citizen residing in Italy. Thus, it will be necessary to rethink the Italian reception system in order to prevent the criticalities experienced in 2016 and 2017.</w:t>
      </w:r>
      <w:r w:rsidR="00506FB0" w:rsidRPr="00D17995">
        <w:rPr>
          <w:rFonts w:ascii="Tahoma" w:hAnsi="Tahoma" w:cs="Tahoma"/>
          <w:sz w:val="20"/>
          <w:szCs w:val="20"/>
          <w:lang w:val="en-US"/>
        </w:rPr>
        <w:t xml:space="preserve"> I</w:t>
      </w:r>
      <w:r w:rsidRPr="00D17995">
        <w:rPr>
          <w:rFonts w:ascii="Tahoma" w:hAnsi="Tahoma" w:cs="Tahoma"/>
          <w:sz w:val="20"/>
          <w:szCs w:val="20"/>
          <w:lang w:val="en-US"/>
        </w:rPr>
        <w:t xml:space="preserve">t is </w:t>
      </w:r>
      <w:r w:rsidR="00506FB0" w:rsidRPr="00D17995">
        <w:rPr>
          <w:rFonts w:ascii="Tahoma" w:hAnsi="Tahoma" w:cs="Tahoma"/>
          <w:sz w:val="20"/>
          <w:szCs w:val="20"/>
          <w:lang w:val="en-US"/>
        </w:rPr>
        <w:t>imperative</w:t>
      </w:r>
      <w:r w:rsidRPr="00D17995">
        <w:rPr>
          <w:rFonts w:ascii="Tahoma" w:hAnsi="Tahoma" w:cs="Tahoma"/>
          <w:sz w:val="20"/>
          <w:szCs w:val="20"/>
          <w:lang w:val="en-US"/>
        </w:rPr>
        <w:t xml:space="preserve"> to look at the “after-reception” process</w:t>
      </w:r>
      <w:r w:rsidR="00693422" w:rsidRPr="00D17995">
        <w:rPr>
          <w:rFonts w:ascii="Tahoma" w:hAnsi="Tahoma" w:cs="Tahoma"/>
          <w:sz w:val="20"/>
          <w:szCs w:val="20"/>
          <w:lang w:val="en-US"/>
        </w:rPr>
        <w:t>, so to delineate social integration and inclusion trajectories and, where deemed advisable, repatriation.</w:t>
      </w:r>
    </w:p>
    <w:p w14:paraId="5E8B78FA" w14:textId="7B502206" w:rsidR="00001610" w:rsidRPr="00D17995" w:rsidRDefault="00693422" w:rsidP="00F30649">
      <w:pPr>
        <w:spacing w:after="120" w:line="240" w:lineRule="auto"/>
        <w:jc w:val="both"/>
        <w:rPr>
          <w:rFonts w:ascii="Tahoma" w:hAnsi="Tahoma" w:cs="Tahoma"/>
          <w:color w:val="auto"/>
          <w:sz w:val="20"/>
          <w:szCs w:val="20"/>
          <w:lang w:val="en-US"/>
        </w:rPr>
      </w:pPr>
      <w:r w:rsidRPr="00D17995">
        <w:rPr>
          <w:rFonts w:ascii="Tahoma" w:hAnsi="Tahoma" w:cs="Tahoma"/>
          <w:sz w:val="20"/>
          <w:szCs w:val="20"/>
          <w:lang w:val="en-US"/>
        </w:rPr>
        <w:t>One of the challenges for Italy will be to devise and inclusive recovery to reduce inequalities (related not only to citizenship but also to gender, age,</w:t>
      </w:r>
      <w:r w:rsidR="00506FB0" w:rsidRPr="00D17995">
        <w:rPr>
          <w:rFonts w:ascii="Tahoma" w:hAnsi="Tahoma" w:cs="Tahoma"/>
          <w:sz w:val="20"/>
          <w:szCs w:val="20"/>
          <w:lang w:val="en-US"/>
        </w:rPr>
        <w:t xml:space="preserve"> and</w:t>
      </w:r>
      <w:r w:rsidRPr="00D17995">
        <w:rPr>
          <w:rFonts w:ascii="Tahoma" w:hAnsi="Tahoma" w:cs="Tahoma"/>
          <w:sz w:val="20"/>
          <w:szCs w:val="20"/>
          <w:lang w:val="en-US"/>
        </w:rPr>
        <w:t xml:space="preserve"> physical condition) instead of </w:t>
      </w:r>
      <w:r w:rsidR="00506FB0" w:rsidRPr="00D17995">
        <w:rPr>
          <w:rFonts w:ascii="Tahoma" w:hAnsi="Tahoma" w:cs="Tahoma"/>
          <w:sz w:val="20"/>
          <w:szCs w:val="20"/>
          <w:lang w:val="en-US"/>
        </w:rPr>
        <w:t>spurring</w:t>
      </w:r>
      <w:r w:rsidRPr="00D17995">
        <w:rPr>
          <w:rFonts w:ascii="Tahoma" w:hAnsi="Tahoma" w:cs="Tahoma"/>
          <w:sz w:val="20"/>
          <w:szCs w:val="20"/>
          <w:lang w:val="en-US"/>
        </w:rPr>
        <w:t xml:space="preserve"> them. In this way, the </w:t>
      </w:r>
      <w:r w:rsidR="0052543D" w:rsidRPr="00D17995">
        <w:rPr>
          <w:rFonts w:ascii="Tahoma" w:hAnsi="Tahoma" w:cs="Tahoma"/>
          <w:i/>
          <w:sz w:val="20"/>
          <w:szCs w:val="20"/>
          <w:lang w:val="en-US"/>
        </w:rPr>
        <w:t>Next Generation EU</w:t>
      </w:r>
      <w:r w:rsidRPr="00D17995">
        <w:rPr>
          <w:rFonts w:ascii="Tahoma" w:hAnsi="Tahoma" w:cs="Tahoma"/>
          <w:i/>
          <w:sz w:val="20"/>
          <w:szCs w:val="20"/>
          <w:lang w:val="en-US"/>
        </w:rPr>
        <w:t xml:space="preserve"> </w:t>
      </w:r>
      <w:r w:rsidRPr="00D17995">
        <w:rPr>
          <w:rFonts w:ascii="Tahoma" w:hAnsi="Tahoma" w:cs="Tahoma"/>
          <w:iCs/>
          <w:sz w:val="20"/>
          <w:szCs w:val="20"/>
          <w:lang w:val="en-US"/>
        </w:rPr>
        <w:t xml:space="preserve">will truly become more sustainable and welcoming. </w:t>
      </w:r>
      <w:r w:rsidR="00001610" w:rsidRPr="00D17995">
        <w:rPr>
          <w:rFonts w:ascii="Tahoma" w:hAnsi="Tahoma" w:cs="Tahoma"/>
          <w:color w:val="auto"/>
          <w:sz w:val="20"/>
          <w:szCs w:val="20"/>
          <w:lang w:val="en-US"/>
        </w:rPr>
        <w:br w:type="page"/>
      </w:r>
    </w:p>
    <w:p w14:paraId="27AD07FB" w14:textId="77777777" w:rsidR="0052543D" w:rsidRPr="00E114DD" w:rsidRDefault="0052543D" w:rsidP="00001610">
      <w:pPr>
        <w:spacing w:after="120" w:line="240" w:lineRule="auto"/>
        <w:rPr>
          <w:rFonts w:ascii="Times New Roman" w:hAnsi="Times New Roman" w:cs="Times New Roman"/>
          <w:color w:val="auto"/>
          <w:sz w:val="20"/>
          <w:szCs w:val="20"/>
          <w:lang w:val="en-US"/>
        </w:rPr>
      </w:pPr>
      <w:r w:rsidRPr="00E114DD">
        <w:rPr>
          <w:rFonts w:ascii="Times New Roman" w:hAnsi="Times New Roman" w:cs="Times New Roman"/>
          <w:noProof/>
          <w:color w:val="auto"/>
          <w:sz w:val="20"/>
          <w:szCs w:val="20"/>
          <w:lang w:val="en-US"/>
        </w:rPr>
        <w:lastRenderedPageBreak/>
        <w:drawing>
          <wp:inline distT="0" distB="0" distL="0" distR="0" wp14:anchorId="4C436BCF" wp14:editId="59CDA43A">
            <wp:extent cx="5966459" cy="86182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positiva1.PNG"/>
                    <pic:cNvPicPr/>
                  </pic:nvPicPr>
                  <pic:blipFill>
                    <a:blip r:embed="rId8">
                      <a:extLst>
                        <a:ext uri="{28A0092B-C50C-407E-A947-70E740481C1C}">
                          <a14:useLocalDpi xmlns:a14="http://schemas.microsoft.com/office/drawing/2010/main" val="0"/>
                        </a:ext>
                      </a:extLst>
                    </a:blip>
                    <a:stretch>
                      <a:fillRect/>
                    </a:stretch>
                  </pic:blipFill>
                  <pic:spPr>
                    <a:xfrm>
                      <a:off x="0" y="0"/>
                      <a:ext cx="5966459" cy="8618220"/>
                    </a:xfrm>
                    <a:prstGeom prst="rect">
                      <a:avLst/>
                    </a:prstGeom>
                  </pic:spPr>
                </pic:pic>
              </a:graphicData>
            </a:graphic>
          </wp:inline>
        </w:drawing>
      </w:r>
    </w:p>
    <w:p w14:paraId="34180279" w14:textId="77777777" w:rsidR="0052543D" w:rsidRPr="00E114DD" w:rsidRDefault="0052543D" w:rsidP="00001610">
      <w:pPr>
        <w:spacing w:after="120" w:line="240" w:lineRule="auto"/>
        <w:rPr>
          <w:rFonts w:ascii="Times New Roman" w:hAnsi="Times New Roman" w:cs="Times New Roman"/>
          <w:color w:val="auto"/>
          <w:sz w:val="20"/>
          <w:szCs w:val="20"/>
          <w:lang w:val="en-US"/>
        </w:rPr>
      </w:pPr>
      <w:r w:rsidRPr="00E114DD">
        <w:rPr>
          <w:rFonts w:ascii="Times New Roman" w:hAnsi="Times New Roman" w:cs="Times New Roman"/>
          <w:noProof/>
          <w:color w:val="auto"/>
          <w:sz w:val="20"/>
          <w:szCs w:val="20"/>
          <w:lang w:val="en-US"/>
        </w:rPr>
        <w:lastRenderedPageBreak/>
        <w:drawing>
          <wp:inline distT="0" distB="0" distL="0" distR="0" wp14:anchorId="7B6A9BC1" wp14:editId="5684113F">
            <wp:extent cx="5966459" cy="86182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apositiva2.PNG"/>
                    <pic:cNvPicPr/>
                  </pic:nvPicPr>
                  <pic:blipFill>
                    <a:blip r:embed="rId9">
                      <a:extLst>
                        <a:ext uri="{28A0092B-C50C-407E-A947-70E740481C1C}">
                          <a14:useLocalDpi xmlns:a14="http://schemas.microsoft.com/office/drawing/2010/main" val="0"/>
                        </a:ext>
                      </a:extLst>
                    </a:blip>
                    <a:stretch>
                      <a:fillRect/>
                    </a:stretch>
                  </pic:blipFill>
                  <pic:spPr>
                    <a:xfrm>
                      <a:off x="0" y="0"/>
                      <a:ext cx="5966459" cy="8618220"/>
                    </a:xfrm>
                    <a:prstGeom prst="rect">
                      <a:avLst/>
                    </a:prstGeom>
                  </pic:spPr>
                </pic:pic>
              </a:graphicData>
            </a:graphic>
          </wp:inline>
        </w:drawing>
      </w:r>
    </w:p>
    <w:p w14:paraId="1823B114" w14:textId="77777777" w:rsidR="0052543D" w:rsidRPr="00E114DD" w:rsidRDefault="0052543D" w:rsidP="00001610">
      <w:pPr>
        <w:spacing w:after="120" w:line="240" w:lineRule="auto"/>
        <w:rPr>
          <w:rFonts w:ascii="Times New Roman" w:hAnsi="Times New Roman" w:cs="Times New Roman"/>
          <w:color w:val="auto"/>
          <w:sz w:val="20"/>
          <w:szCs w:val="20"/>
          <w:lang w:val="en-US"/>
        </w:rPr>
      </w:pPr>
      <w:r w:rsidRPr="00E114DD">
        <w:rPr>
          <w:rFonts w:ascii="Times New Roman" w:hAnsi="Times New Roman" w:cs="Times New Roman"/>
          <w:noProof/>
          <w:color w:val="auto"/>
          <w:sz w:val="20"/>
          <w:szCs w:val="20"/>
          <w:lang w:val="en-US"/>
        </w:rPr>
        <w:lastRenderedPageBreak/>
        <w:drawing>
          <wp:inline distT="0" distB="0" distL="0" distR="0" wp14:anchorId="731C7D22" wp14:editId="5D6238EA">
            <wp:extent cx="5966459" cy="86182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apositiva3.PNG"/>
                    <pic:cNvPicPr/>
                  </pic:nvPicPr>
                  <pic:blipFill>
                    <a:blip r:embed="rId10">
                      <a:extLst>
                        <a:ext uri="{28A0092B-C50C-407E-A947-70E740481C1C}">
                          <a14:useLocalDpi xmlns:a14="http://schemas.microsoft.com/office/drawing/2010/main" val="0"/>
                        </a:ext>
                      </a:extLst>
                    </a:blip>
                    <a:stretch>
                      <a:fillRect/>
                    </a:stretch>
                  </pic:blipFill>
                  <pic:spPr>
                    <a:xfrm>
                      <a:off x="0" y="0"/>
                      <a:ext cx="5966459" cy="8618220"/>
                    </a:xfrm>
                    <a:prstGeom prst="rect">
                      <a:avLst/>
                    </a:prstGeom>
                  </pic:spPr>
                </pic:pic>
              </a:graphicData>
            </a:graphic>
          </wp:inline>
        </w:drawing>
      </w:r>
    </w:p>
    <w:p w14:paraId="2C4D0CEE" w14:textId="77777777" w:rsidR="0052543D" w:rsidRPr="00E114DD" w:rsidRDefault="0052543D" w:rsidP="00001610">
      <w:pPr>
        <w:spacing w:after="120" w:line="240" w:lineRule="auto"/>
        <w:rPr>
          <w:rFonts w:ascii="Times New Roman" w:hAnsi="Times New Roman" w:cs="Times New Roman"/>
          <w:color w:val="auto"/>
          <w:sz w:val="20"/>
          <w:szCs w:val="20"/>
          <w:lang w:val="en-US"/>
        </w:rPr>
      </w:pPr>
      <w:bookmarkStart w:id="0" w:name="_GoBack"/>
      <w:r w:rsidRPr="00E114DD">
        <w:rPr>
          <w:rFonts w:ascii="Times New Roman" w:hAnsi="Times New Roman" w:cs="Times New Roman"/>
          <w:noProof/>
          <w:color w:val="auto"/>
          <w:sz w:val="20"/>
          <w:szCs w:val="20"/>
          <w:lang w:val="en-US"/>
        </w:rPr>
        <w:lastRenderedPageBreak/>
        <w:drawing>
          <wp:inline distT="0" distB="0" distL="0" distR="0" wp14:anchorId="49B8BB44" wp14:editId="25F02C0C">
            <wp:extent cx="5966459" cy="8618219"/>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apositiva4.PNG"/>
                    <pic:cNvPicPr/>
                  </pic:nvPicPr>
                  <pic:blipFill>
                    <a:blip r:embed="rId11">
                      <a:extLst>
                        <a:ext uri="{28A0092B-C50C-407E-A947-70E740481C1C}">
                          <a14:useLocalDpi xmlns:a14="http://schemas.microsoft.com/office/drawing/2010/main" val="0"/>
                        </a:ext>
                      </a:extLst>
                    </a:blip>
                    <a:stretch>
                      <a:fillRect/>
                    </a:stretch>
                  </pic:blipFill>
                  <pic:spPr>
                    <a:xfrm>
                      <a:off x="0" y="0"/>
                      <a:ext cx="5966459" cy="8618219"/>
                    </a:xfrm>
                    <a:prstGeom prst="rect">
                      <a:avLst/>
                    </a:prstGeom>
                  </pic:spPr>
                </pic:pic>
              </a:graphicData>
            </a:graphic>
          </wp:inline>
        </w:drawing>
      </w:r>
      <w:bookmarkEnd w:id="0"/>
    </w:p>
    <w:p w14:paraId="22F5D6F0" w14:textId="77777777" w:rsidR="0052543D" w:rsidRPr="00E114DD" w:rsidRDefault="0052543D" w:rsidP="00001610">
      <w:pPr>
        <w:spacing w:after="120" w:line="240" w:lineRule="auto"/>
        <w:rPr>
          <w:rFonts w:ascii="Times New Roman" w:hAnsi="Times New Roman" w:cs="Times New Roman"/>
          <w:color w:val="auto"/>
          <w:sz w:val="20"/>
          <w:szCs w:val="20"/>
          <w:lang w:val="en-US"/>
        </w:rPr>
      </w:pPr>
      <w:r w:rsidRPr="00E114DD">
        <w:rPr>
          <w:rFonts w:ascii="Times New Roman" w:hAnsi="Times New Roman" w:cs="Times New Roman"/>
          <w:noProof/>
          <w:color w:val="auto"/>
          <w:sz w:val="20"/>
          <w:szCs w:val="20"/>
          <w:lang w:val="en-US"/>
        </w:rPr>
        <w:lastRenderedPageBreak/>
        <w:drawing>
          <wp:inline distT="0" distB="0" distL="0" distR="0" wp14:anchorId="26E53D5E" wp14:editId="32DBC75F">
            <wp:extent cx="5966459" cy="86182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apositiva5.PNG"/>
                    <pic:cNvPicPr/>
                  </pic:nvPicPr>
                  <pic:blipFill>
                    <a:blip r:embed="rId12">
                      <a:extLst>
                        <a:ext uri="{28A0092B-C50C-407E-A947-70E740481C1C}">
                          <a14:useLocalDpi xmlns:a14="http://schemas.microsoft.com/office/drawing/2010/main" val="0"/>
                        </a:ext>
                      </a:extLst>
                    </a:blip>
                    <a:stretch>
                      <a:fillRect/>
                    </a:stretch>
                  </pic:blipFill>
                  <pic:spPr>
                    <a:xfrm>
                      <a:off x="0" y="0"/>
                      <a:ext cx="5966459" cy="8618220"/>
                    </a:xfrm>
                    <a:prstGeom prst="rect">
                      <a:avLst/>
                    </a:prstGeom>
                  </pic:spPr>
                </pic:pic>
              </a:graphicData>
            </a:graphic>
          </wp:inline>
        </w:drawing>
      </w:r>
    </w:p>
    <w:sectPr w:rsidR="0052543D" w:rsidRPr="00E114DD">
      <w:pgSz w:w="12240" w:h="15840"/>
      <w:pgMar w:top="1134" w:right="1134" w:bottom="1134" w:left="1134"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308B5" w14:textId="77777777" w:rsidR="00AA4F42" w:rsidRDefault="00AA4F42">
      <w:pPr>
        <w:spacing w:after="0" w:line="240" w:lineRule="auto"/>
      </w:pPr>
      <w:r>
        <w:separator/>
      </w:r>
    </w:p>
  </w:endnote>
  <w:endnote w:type="continuationSeparator" w:id="0">
    <w:p w14:paraId="32699B44" w14:textId="77777777" w:rsidR="00AA4F42" w:rsidRDefault="00AA4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w:panose1 w:val="00000000000000000000"/>
    <w:charset w:val="00"/>
    <w:family w:val="roman"/>
    <w:notTrueType/>
    <w:pitch w:val="default"/>
  </w:font>
  <w:font w:name="Liberation Serif">
    <w:altName w:val="Times New Roman"/>
    <w:charset w:val="01"/>
    <w:family w:val="roman"/>
    <w:pitch w:val="variable"/>
  </w:font>
  <w:font w:name="Garamond">
    <w:panose1 w:val="02020404030301010803"/>
    <w:charset w:val="00"/>
    <w:family w:val="roman"/>
    <w:pitch w:val="variable"/>
    <w:sig w:usb0="00000287" w:usb1="00000000" w:usb2="00000000" w:usb3="00000000" w:csb0="0000009F" w:csb1="00000000"/>
  </w:font>
  <w:font w:name="Helvetica Neue">
    <w:altName w:val="Times New Roman"/>
    <w:charset w:val="01"/>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D8FE4" w14:textId="77777777" w:rsidR="00AA4F42" w:rsidRDefault="00AA4F42"/>
  </w:footnote>
  <w:footnote w:type="continuationSeparator" w:id="0">
    <w:p w14:paraId="4766D7C9" w14:textId="77777777" w:rsidR="00AA4F42" w:rsidRDefault="00AA4F42">
      <w:r>
        <w:continuationSeparator/>
      </w:r>
    </w:p>
  </w:footnote>
  <w:footnote w:id="1">
    <w:p w14:paraId="27BDF742" w14:textId="1D435854" w:rsidR="000D47C0" w:rsidRDefault="000D47C0">
      <w:pPr>
        <w:pStyle w:val="Testonotaapidipagina"/>
      </w:pPr>
      <w:r>
        <w:rPr>
          <w:rStyle w:val="Rimandonotaapidipagina"/>
        </w:rPr>
        <w:footnoteRef/>
      </w:r>
      <w:r>
        <w:t xml:space="preserve"> </w:t>
      </w:r>
      <w:r w:rsidRPr="00D17995">
        <w:rPr>
          <w:rFonts w:ascii="Times New Roman" w:hAnsi="Times New Roman" w:cs="Times New Roman"/>
          <w:i/>
          <w:iCs/>
          <w:sz w:val="20"/>
          <w:szCs w:val="20"/>
        </w:rPr>
        <w:t>Programmazione integrata pluriennale in tema di lavoro, integrazione e inclusione 2021-2027.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7BF1"/>
    <w:multiLevelType w:val="hybridMultilevel"/>
    <w:tmpl w:val="32A4247C"/>
    <w:lvl w:ilvl="0" w:tplc="334C35F8">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337C5A"/>
    <w:multiLevelType w:val="multilevel"/>
    <w:tmpl w:val="B6544D3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C6803B8"/>
    <w:multiLevelType w:val="hybridMultilevel"/>
    <w:tmpl w:val="CFB635F8"/>
    <w:lvl w:ilvl="0" w:tplc="334C35F8">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707A9E"/>
    <w:multiLevelType w:val="hybridMultilevel"/>
    <w:tmpl w:val="849E0E94"/>
    <w:lvl w:ilvl="0" w:tplc="334C35F8">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5F0DCC"/>
    <w:multiLevelType w:val="multilevel"/>
    <w:tmpl w:val="EB6423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18F7476"/>
    <w:multiLevelType w:val="multilevel"/>
    <w:tmpl w:val="399EB0C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96461E2"/>
    <w:multiLevelType w:val="multilevel"/>
    <w:tmpl w:val="EB6423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0605B62"/>
    <w:multiLevelType w:val="multilevel"/>
    <w:tmpl w:val="1082A0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4AC51AFB"/>
    <w:multiLevelType w:val="hybridMultilevel"/>
    <w:tmpl w:val="84EE2080"/>
    <w:lvl w:ilvl="0" w:tplc="334C35F8">
      <w:start w:val="1"/>
      <w:numFmt w:val="decimal"/>
      <w:lvlText w:val="%1."/>
      <w:lvlJc w:val="left"/>
      <w:pPr>
        <w:ind w:left="360" w:hanging="360"/>
      </w:pPr>
      <w:rPr>
        <w:rFonts w:hint="default"/>
        <w:b/>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C824A3C"/>
    <w:multiLevelType w:val="hybridMultilevel"/>
    <w:tmpl w:val="5F301E58"/>
    <w:lvl w:ilvl="0" w:tplc="334C35F8">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BA4FF1"/>
    <w:multiLevelType w:val="hybridMultilevel"/>
    <w:tmpl w:val="3DF41F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157837"/>
    <w:multiLevelType w:val="multilevel"/>
    <w:tmpl w:val="2F7612B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76A84D0D"/>
    <w:multiLevelType w:val="hybridMultilevel"/>
    <w:tmpl w:val="C5362B00"/>
    <w:lvl w:ilvl="0" w:tplc="334C35F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1"/>
  </w:num>
  <w:num w:numId="3">
    <w:abstractNumId w:val="1"/>
  </w:num>
  <w:num w:numId="4">
    <w:abstractNumId w:val="6"/>
  </w:num>
  <w:num w:numId="5">
    <w:abstractNumId w:val="7"/>
  </w:num>
  <w:num w:numId="6">
    <w:abstractNumId w:val="4"/>
  </w:num>
  <w:num w:numId="7">
    <w:abstractNumId w:val="10"/>
  </w:num>
  <w:num w:numId="8">
    <w:abstractNumId w:val="12"/>
  </w:num>
  <w:num w:numId="9">
    <w:abstractNumId w:val="0"/>
  </w:num>
  <w:num w:numId="10">
    <w:abstractNumId w:val="3"/>
  </w:num>
  <w:num w:numId="11">
    <w:abstractNumId w:val="9"/>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848"/>
    <w:rsid w:val="00001610"/>
    <w:rsid w:val="00012A5D"/>
    <w:rsid w:val="00021CD4"/>
    <w:rsid w:val="000227EB"/>
    <w:rsid w:val="00040F0A"/>
    <w:rsid w:val="00060F60"/>
    <w:rsid w:val="00081103"/>
    <w:rsid w:val="000965C6"/>
    <w:rsid w:val="000A3094"/>
    <w:rsid w:val="000D47C0"/>
    <w:rsid w:val="0012495D"/>
    <w:rsid w:val="0013787B"/>
    <w:rsid w:val="00196B31"/>
    <w:rsid w:val="001B2337"/>
    <w:rsid w:val="001C024A"/>
    <w:rsid w:val="001C2987"/>
    <w:rsid w:val="001D24D9"/>
    <w:rsid w:val="001F0B0A"/>
    <w:rsid w:val="00216322"/>
    <w:rsid w:val="00234523"/>
    <w:rsid w:val="00242706"/>
    <w:rsid w:val="00254CD8"/>
    <w:rsid w:val="00291A88"/>
    <w:rsid w:val="002A3C2F"/>
    <w:rsid w:val="002A5F19"/>
    <w:rsid w:val="002A61EE"/>
    <w:rsid w:val="002C5E16"/>
    <w:rsid w:val="002C796C"/>
    <w:rsid w:val="002D48BF"/>
    <w:rsid w:val="002D706F"/>
    <w:rsid w:val="003222AB"/>
    <w:rsid w:val="00322C2E"/>
    <w:rsid w:val="00324874"/>
    <w:rsid w:val="003512B5"/>
    <w:rsid w:val="003573AC"/>
    <w:rsid w:val="0036048C"/>
    <w:rsid w:val="00361AA2"/>
    <w:rsid w:val="003B5D68"/>
    <w:rsid w:val="00406C61"/>
    <w:rsid w:val="004A2036"/>
    <w:rsid w:val="004E3986"/>
    <w:rsid w:val="0050576C"/>
    <w:rsid w:val="00506FB0"/>
    <w:rsid w:val="005252BA"/>
    <w:rsid w:val="0052543D"/>
    <w:rsid w:val="005259B6"/>
    <w:rsid w:val="00552AB6"/>
    <w:rsid w:val="00587408"/>
    <w:rsid w:val="005945BA"/>
    <w:rsid w:val="00596FEC"/>
    <w:rsid w:val="00597E21"/>
    <w:rsid w:val="005A2231"/>
    <w:rsid w:val="005C0389"/>
    <w:rsid w:val="005C6895"/>
    <w:rsid w:val="005F4B2B"/>
    <w:rsid w:val="00607E0E"/>
    <w:rsid w:val="006270A4"/>
    <w:rsid w:val="00635DEA"/>
    <w:rsid w:val="00664D52"/>
    <w:rsid w:val="0066703C"/>
    <w:rsid w:val="00673587"/>
    <w:rsid w:val="00693422"/>
    <w:rsid w:val="0070689C"/>
    <w:rsid w:val="0071687C"/>
    <w:rsid w:val="00726A33"/>
    <w:rsid w:val="00796DE4"/>
    <w:rsid w:val="00797126"/>
    <w:rsid w:val="007B1DD9"/>
    <w:rsid w:val="007B3DDB"/>
    <w:rsid w:val="007C4858"/>
    <w:rsid w:val="0080793B"/>
    <w:rsid w:val="00816723"/>
    <w:rsid w:val="008626EE"/>
    <w:rsid w:val="00883AF0"/>
    <w:rsid w:val="00886848"/>
    <w:rsid w:val="008E76E0"/>
    <w:rsid w:val="00905449"/>
    <w:rsid w:val="00910E3F"/>
    <w:rsid w:val="00932801"/>
    <w:rsid w:val="00932F88"/>
    <w:rsid w:val="00961A47"/>
    <w:rsid w:val="0098007D"/>
    <w:rsid w:val="009926AD"/>
    <w:rsid w:val="00992C9C"/>
    <w:rsid w:val="009A571A"/>
    <w:rsid w:val="009B4580"/>
    <w:rsid w:val="009D0F18"/>
    <w:rsid w:val="009D448C"/>
    <w:rsid w:val="009E07A7"/>
    <w:rsid w:val="00A03BFC"/>
    <w:rsid w:val="00A229F8"/>
    <w:rsid w:val="00A250CD"/>
    <w:rsid w:val="00A73CFB"/>
    <w:rsid w:val="00A878C9"/>
    <w:rsid w:val="00AA4F42"/>
    <w:rsid w:val="00B12D9E"/>
    <w:rsid w:val="00B20BDA"/>
    <w:rsid w:val="00B45949"/>
    <w:rsid w:val="00B500E6"/>
    <w:rsid w:val="00B82B09"/>
    <w:rsid w:val="00B845F1"/>
    <w:rsid w:val="00B8523B"/>
    <w:rsid w:val="00BC2A27"/>
    <w:rsid w:val="00BE5F6C"/>
    <w:rsid w:val="00BE66B3"/>
    <w:rsid w:val="00BF7788"/>
    <w:rsid w:val="00C41DE1"/>
    <w:rsid w:val="00C431F3"/>
    <w:rsid w:val="00C92DE7"/>
    <w:rsid w:val="00CD5BBF"/>
    <w:rsid w:val="00D064C6"/>
    <w:rsid w:val="00D17995"/>
    <w:rsid w:val="00D22E02"/>
    <w:rsid w:val="00D36BC1"/>
    <w:rsid w:val="00D633F5"/>
    <w:rsid w:val="00D64D09"/>
    <w:rsid w:val="00D81A49"/>
    <w:rsid w:val="00D92AFD"/>
    <w:rsid w:val="00DE23EC"/>
    <w:rsid w:val="00E114DD"/>
    <w:rsid w:val="00E1231D"/>
    <w:rsid w:val="00E367DE"/>
    <w:rsid w:val="00E37E78"/>
    <w:rsid w:val="00E565BF"/>
    <w:rsid w:val="00E83B71"/>
    <w:rsid w:val="00ED391B"/>
    <w:rsid w:val="00EE1521"/>
    <w:rsid w:val="00EE7D66"/>
    <w:rsid w:val="00F30649"/>
    <w:rsid w:val="00F64651"/>
    <w:rsid w:val="00F71B81"/>
    <w:rsid w:val="00F926BC"/>
    <w:rsid w:val="00FA2498"/>
    <w:rsid w:val="00FA2544"/>
    <w:rsid w:val="00FB5DB5"/>
    <w:rsid w:val="00FC0159"/>
    <w:rsid w:val="00FE313B"/>
    <w:rsid w:val="00FE60D6"/>
    <w:rsid w:val="00FF401C"/>
    <w:rsid w:val="00FF503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C2884"/>
  <w15:docId w15:val="{443B258F-0838-4DF8-A613-2D61EC73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rPr>
      <w:rFonts w:ascii="Calibri" w:eastAsia="Calibri" w:hAnsi="Calibri"/>
      <w:color w:val="00000A"/>
      <w:sz w:val="22"/>
    </w:rPr>
  </w:style>
  <w:style w:type="paragraph" w:styleId="Titolo1">
    <w:name w:val="heading 1"/>
    <w:basedOn w:val="Titolo"/>
    <w:qFormat/>
    <w:pPr>
      <w:outlineLvl w:val="0"/>
    </w:pPr>
  </w:style>
  <w:style w:type="paragraph" w:styleId="Titolo4">
    <w:name w:val="heading 4"/>
    <w:basedOn w:val="Normale"/>
    <w:qFormat/>
    <w:pPr>
      <w:keepNext/>
      <w:keepLines/>
      <w:spacing w:before="40" w:after="0"/>
      <w:outlineLvl w:val="3"/>
    </w:pPr>
    <w:rPr>
      <w:rFonts w:eastAsia="Noto Sans CJK SC Regular" w:cs="FreeSans"/>
      <w:i/>
      <w:iCs/>
      <w:color w:val="365F9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034D82"/>
    <w:rPr>
      <w:sz w:val="20"/>
      <w:szCs w:val="20"/>
    </w:rPr>
  </w:style>
  <w:style w:type="character" w:styleId="Rimandonotaapidipagina">
    <w:name w:val="footnote reference"/>
    <w:basedOn w:val="Carpredefinitoparagrafo"/>
    <w:link w:val="CarattereCharCarattereCarattereCharCarattereCharCarattereChar"/>
    <w:uiPriority w:val="99"/>
    <w:unhideWhenUsed/>
    <w:qFormat/>
    <w:rsid w:val="00034D82"/>
    <w:rPr>
      <w:vertAlign w:val="superscript"/>
    </w:rPr>
  </w:style>
  <w:style w:type="character" w:customStyle="1" w:styleId="CollegamentoInternet">
    <w:name w:val="Collegamento Internet"/>
    <w:basedOn w:val="Carpredefinitoparagrafo"/>
    <w:unhideWhenUsed/>
    <w:rsid w:val="00034D82"/>
    <w:rPr>
      <w:color w:val="0563C1" w:themeColor="hyperlink"/>
      <w:u w:val="single"/>
    </w:rPr>
  </w:style>
  <w:style w:type="character" w:customStyle="1" w:styleId="TestofumettoCarattere">
    <w:name w:val="Testo fumetto Carattere"/>
    <w:basedOn w:val="Carpredefinitoparagrafo"/>
    <w:link w:val="Testofumetto"/>
    <w:uiPriority w:val="99"/>
    <w:semiHidden/>
    <w:qFormat/>
    <w:rsid w:val="00D81022"/>
    <w:rPr>
      <w:rFonts w:ascii="Segoe UI" w:hAnsi="Segoe UI" w:cs="Segoe UI"/>
      <w:sz w:val="18"/>
      <w:szCs w:val="18"/>
    </w:rPr>
  </w:style>
  <w:style w:type="character" w:styleId="Rimandocommento">
    <w:name w:val="annotation reference"/>
    <w:basedOn w:val="Carpredefinitoparagrafo"/>
    <w:uiPriority w:val="99"/>
    <w:semiHidden/>
    <w:unhideWhenUsed/>
    <w:qFormat/>
    <w:rsid w:val="00FF7BC7"/>
    <w:rPr>
      <w:sz w:val="16"/>
      <w:szCs w:val="16"/>
    </w:rPr>
  </w:style>
  <w:style w:type="character" w:customStyle="1" w:styleId="TestocommentoCarattere">
    <w:name w:val="Testo commento Carattere"/>
    <w:basedOn w:val="Carpredefinitoparagrafo"/>
    <w:link w:val="Testocommento"/>
    <w:uiPriority w:val="99"/>
    <w:semiHidden/>
    <w:qFormat/>
    <w:rsid w:val="00FF7BC7"/>
    <w:rPr>
      <w:sz w:val="20"/>
      <w:szCs w:val="20"/>
    </w:rPr>
  </w:style>
  <w:style w:type="character" w:customStyle="1" w:styleId="SoggettocommentoCarattere">
    <w:name w:val="Soggetto commento Carattere"/>
    <w:basedOn w:val="TestocommentoCarattere"/>
    <w:link w:val="Soggettocommento"/>
    <w:uiPriority w:val="99"/>
    <w:semiHidden/>
    <w:qFormat/>
    <w:rsid w:val="00FF7BC7"/>
    <w:rPr>
      <w:b/>
      <w:bCs/>
      <w:sz w:val="20"/>
      <w:szCs w:val="20"/>
    </w:rPr>
  </w:style>
  <w:style w:type="character" w:styleId="Rimandonotadichiusura">
    <w:name w:val="endnote reference"/>
    <w:basedOn w:val="Carpredefinitoparagrafo"/>
    <w:uiPriority w:val="99"/>
    <w:semiHidden/>
    <w:unhideWhenUsed/>
    <w:qFormat/>
    <w:rsid w:val="00FD04E2"/>
    <w:rPr>
      <w:vertAlign w:val="superscript"/>
    </w:rPr>
  </w:style>
  <w:style w:type="character" w:customStyle="1" w:styleId="ListLabel1">
    <w:name w:val="ListLabel 1"/>
    <w:qFormat/>
  </w:style>
  <w:style w:type="character" w:customStyle="1" w:styleId="ListLabel2">
    <w:name w:val="ListLabel 2"/>
    <w:qFormat/>
    <w:rPr>
      <w:color w:val="00206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sz w:val="26"/>
      <w:szCs w:val="26"/>
    </w:rPr>
  </w:style>
  <w:style w:type="character" w:customStyle="1" w:styleId="Caratterenotaapidipagina">
    <w:name w:val="Carattere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enotadichiusura">
    <w:name w:val="Carattere nota di chiusura"/>
    <w:qFormat/>
  </w:style>
  <w:style w:type="character" w:customStyle="1" w:styleId="ListLabel89">
    <w:name w:val="ListLabel 89"/>
    <w:qFormat/>
    <w:rPr>
      <w:rFonts w:ascii="Times New Roman" w:hAnsi="Times New Roman" w:cs="Wingdings"/>
      <w:b/>
      <w:sz w:val="28"/>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st">
    <w:name w:val="st"/>
    <w:basedOn w:val="Carpredefinitoparagrafo"/>
    <w:qFormat/>
  </w:style>
  <w:style w:type="character" w:customStyle="1" w:styleId="Enfasiforte">
    <w:name w:val="Enfasi forte"/>
    <w:qFormat/>
    <w:rPr>
      <w:b/>
      <w:bCs/>
    </w:rPr>
  </w:style>
  <w:style w:type="character" w:customStyle="1" w:styleId="Enfasi">
    <w:name w:val="Enfasi"/>
    <w:basedOn w:val="Carpredefinitoparagrafo"/>
    <w:qFormat/>
    <w:rPr>
      <w:b/>
      <w:bCs/>
      <w:i w:val="0"/>
      <w:iCs w:val="0"/>
    </w:rPr>
  </w:style>
  <w:style w:type="character" w:customStyle="1" w:styleId="CollegamentoInternetvisitato">
    <w:name w:val="Collegamento Internet visitato"/>
    <w:rPr>
      <w:color w:val="800080"/>
      <w:u w:val="single"/>
    </w:rPr>
  </w:style>
  <w:style w:type="character" w:customStyle="1" w:styleId="producttext">
    <w:name w:val="product_text"/>
    <w:basedOn w:val="Carpredefinitoparagrafo"/>
    <w:qFormat/>
  </w:style>
  <w:style w:type="character" w:customStyle="1" w:styleId="st1">
    <w:name w:val="st1"/>
    <w:basedOn w:val="Carpredefinitoparagrafo"/>
    <w:qFormat/>
  </w:style>
  <w:style w:type="character" w:customStyle="1" w:styleId="text">
    <w:name w:val="text"/>
    <w:basedOn w:val="Carpredefinitoparagrafo"/>
    <w:qFormat/>
  </w:style>
  <w:style w:type="character" w:customStyle="1" w:styleId="ListLabel130">
    <w:name w:val="ListLabel 130"/>
    <w:qFormat/>
    <w:rPr>
      <w:rFonts w:cs="Wingdings"/>
      <w:b/>
      <w:sz w:val="28"/>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Wingdings"/>
      <w:b/>
      <w:sz w:val="28"/>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eastAsia="Roboto" w:cs="Times New Roman"/>
      <w:b/>
      <w:color w:val="000000"/>
      <w:sz w:val="24"/>
    </w:rPr>
  </w:style>
  <w:style w:type="character" w:customStyle="1" w:styleId="ListLabel213">
    <w:name w:val="ListLabel 213"/>
    <w:qFormat/>
    <w:rPr>
      <w:rFonts w:eastAsia="Roboto" w:cs="Times New Roman"/>
      <w:b/>
      <w:color w:val="000000"/>
      <w:sz w:val="24"/>
    </w:rPr>
  </w:style>
  <w:style w:type="character" w:customStyle="1" w:styleId="ListLabel214">
    <w:name w:val="ListLabel 214"/>
    <w:qFormat/>
    <w:rPr>
      <w:rFonts w:eastAsia="Roboto" w:cs="Times New Roman"/>
      <w:b/>
      <w:color w:val="000000"/>
      <w:sz w:val="24"/>
    </w:rPr>
  </w:style>
  <w:style w:type="character" w:customStyle="1" w:styleId="ListLabel215">
    <w:name w:val="ListLabel 215"/>
    <w:qFormat/>
    <w:rPr>
      <w:rFonts w:eastAsia="Roboto" w:cs="Times New Roman"/>
      <w:b/>
      <w:color w:val="000000"/>
      <w:sz w:val="24"/>
    </w:rPr>
  </w:style>
  <w:style w:type="character" w:customStyle="1" w:styleId="ListLabel216">
    <w:name w:val="ListLabel 216"/>
    <w:qFormat/>
    <w:rPr>
      <w:rFonts w:eastAsia="Roboto" w:cs="Times New Roman"/>
      <w:b/>
      <w:color w:val="000000"/>
      <w:sz w:val="24"/>
    </w:rPr>
  </w:style>
  <w:style w:type="character" w:customStyle="1" w:styleId="ListLabel217">
    <w:name w:val="ListLabel 217"/>
    <w:qFormat/>
    <w:rPr>
      <w:rFonts w:eastAsia="Roboto" w:cs="Times New Roman"/>
      <w:b/>
      <w:color w:val="000000"/>
      <w:sz w:val="24"/>
    </w:rPr>
  </w:style>
  <w:style w:type="character" w:customStyle="1" w:styleId="ListLabel218">
    <w:name w:val="ListLabel 218"/>
    <w:qFormat/>
    <w:rPr>
      <w:rFonts w:eastAsia="Roboto" w:cs="Times New Roman"/>
      <w:b/>
      <w:color w:val="000000"/>
      <w:sz w:val="24"/>
    </w:rPr>
  </w:style>
  <w:style w:type="character" w:customStyle="1" w:styleId="ListLabel219">
    <w:name w:val="ListLabel 219"/>
    <w:qFormat/>
    <w:rPr>
      <w:rFonts w:eastAsia="Roboto" w:cs="Times New Roman"/>
      <w:b/>
      <w:color w:val="000000"/>
      <w:sz w:val="24"/>
    </w:rPr>
  </w:style>
  <w:style w:type="character" w:customStyle="1" w:styleId="ListLabel220">
    <w:name w:val="ListLabel 220"/>
    <w:qFormat/>
    <w:rPr>
      <w:rFonts w:eastAsia="Roboto" w:cs="Times New Roman"/>
      <w:b/>
      <w:color w:val="000000"/>
      <w:sz w:val="24"/>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cs="Symbol"/>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Nessuno">
    <w:name w:val="Nessuno"/>
    <w:qFormat/>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cs="Symbol"/>
    </w:rPr>
  </w:style>
  <w:style w:type="character" w:customStyle="1" w:styleId="ListLabel408">
    <w:name w:val="ListLabel 408"/>
    <w:qFormat/>
    <w:rPr>
      <w:rFonts w:cs="Courier New"/>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cs="Symbol"/>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Symbol"/>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Symbol"/>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cs="Symbol"/>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tlid-translation">
    <w:name w:val="tlid-translation"/>
    <w:basedOn w:val="Carpredefinitoparagrafo"/>
    <w:qFormat/>
  </w:style>
  <w:style w:type="paragraph" w:styleId="Titolo">
    <w:name w:val="Title"/>
    <w:basedOn w:val="Normale"/>
    <w:next w:val="Corpotesto"/>
    <w:qFormat/>
    <w:pPr>
      <w:keepNext/>
      <w:spacing w:before="240" w:after="120"/>
    </w:pPr>
    <w:rPr>
      <w:rFonts w:ascii="Liberation Sans" w:eastAsia="Noto Sans CJK SC Regular" w:hAnsi="Liberation Sans" w:cs="FreeSans"/>
      <w:sz w:val="28"/>
      <w:szCs w:val="28"/>
    </w:rPr>
  </w:style>
  <w:style w:type="paragraph" w:styleId="Corpotesto">
    <w:name w:val="Body Text"/>
    <w:basedOn w:val="Normale"/>
    <w:pPr>
      <w:spacing w:after="140" w:line="288" w:lineRule="auto"/>
    </w:pPr>
  </w:style>
  <w:style w:type="paragraph" w:styleId="Elenco">
    <w:name w:val="List"/>
    <w:basedOn w:val="Corpotesto"/>
    <w:rPr>
      <w:rFonts w:cs="FreeSans"/>
    </w:rPr>
  </w:style>
  <w:style w:type="paragraph" w:styleId="Didascalia">
    <w:name w:val="caption"/>
    <w:basedOn w:val="Normale"/>
    <w:uiPriority w:val="35"/>
    <w:unhideWhenUsed/>
    <w:qFormat/>
    <w:rsid w:val="00914D24"/>
    <w:pPr>
      <w:spacing w:after="200" w:line="240" w:lineRule="auto"/>
    </w:pPr>
    <w:rPr>
      <w:i/>
      <w:iCs/>
      <w:color w:val="44546A" w:themeColor="text2"/>
      <w:sz w:val="18"/>
      <w:szCs w:val="18"/>
    </w:rPr>
  </w:style>
  <w:style w:type="paragraph" w:customStyle="1" w:styleId="Indice">
    <w:name w:val="Indice"/>
    <w:basedOn w:val="Normale"/>
    <w:qFormat/>
    <w:pPr>
      <w:suppressLineNumbers/>
    </w:pPr>
    <w:rPr>
      <w:rFonts w:cs="FreeSans"/>
    </w:rPr>
  </w:style>
  <w:style w:type="paragraph" w:styleId="Testonotaapidipagina">
    <w:name w:val="footnote text"/>
    <w:basedOn w:val="Normale"/>
    <w:link w:val="TestonotaapidipaginaCarattere"/>
  </w:style>
  <w:style w:type="paragraph" w:customStyle="1" w:styleId="CarattereCharCarattereCarattereCharCarattereCharCarattereChar">
    <w:name w:val="Carattere Char Carattere Carattere Char Carattere Char Carattere Char"/>
    <w:basedOn w:val="Normale"/>
    <w:link w:val="Rimandonotaapidipagina"/>
    <w:uiPriority w:val="99"/>
    <w:qFormat/>
    <w:rsid w:val="00282CDD"/>
    <w:pPr>
      <w:spacing w:line="240" w:lineRule="exact"/>
      <w:jc w:val="both"/>
    </w:pPr>
    <w:rPr>
      <w:vertAlign w:val="superscript"/>
    </w:rPr>
  </w:style>
  <w:style w:type="paragraph" w:styleId="Testofumetto">
    <w:name w:val="Balloon Text"/>
    <w:basedOn w:val="Normale"/>
    <w:link w:val="TestofumettoCarattere"/>
    <w:uiPriority w:val="99"/>
    <w:semiHidden/>
    <w:unhideWhenUsed/>
    <w:qFormat/>
    <w:rsid w:val="00D81022"/>
    <w:pPr>
      <w:spacing w:after="0" w:line="240" w:lineRule="auto"/>
    </w:pPr>
    <w:rPr>
      <w:rFonts w:ascii="Segoe UI" w:hAnsi="Segoe UI" w:cs="Segoe UI"/>
      <w:sz w:val="18"/>
      <w:szCs w:val="18"/>
    </w:rPr>
  </w:style>
  <w:style w:type="paragraph" w:styleId="Testocommento">
    <w:name w:val="annotation text"/>
    <w:basedOn w:val="Normale"/>
    <w:link w:val="TestocommentoCarattere"/>
    <w:uiPriority w:val="99"/>
    <w:semiHidden/>
    <w:unhideWhenUsed/>
    <w:qFormat/>
    <w:rsid w:val="00FF7BC7"/>
    <w:pPr>
      <w:spacing w:line="240" w:lineRule="auto"/>
    </w:pPr>
    <w:rPr>
      <w:sz w:val="20"/>
      <w:szCs w:val="20"/>
    </w:rPr>
  </w:style>
  <w:style w:type="paragraph" w:styleId="Soggettocommento">
    <w:name w:val="annotation subject"/>
    <w:basedOn w:val="Testocommento"/>
    <w:link w:val="SoggettocommentoCarattere"/>
    <w:uiPriority w:val="99"/>
    <w:semiHidden/>
    <w:unhideWhenUsed/>
    <w:qFormat/>
    <w:rsid w:val="00FF7BC7"/>
    <w:rPr>
      <w:b/>
      <w:bCs/>
    </w:rPr>
  </w:style>
  <w:style w:type="paragraph" w:styleId="Paragrafoelenco">
    <w:name w:val="List Paragraph"/>
    <w:basedOn w:val="Normale"/>
    <w:uiPriority w:val="34"/>
    <w:qFormat/>
    <w:rsid w:val="00CE5C8A"/>
    <w:pPr>
      <w:ind w:left="720"/>
      <w:contextualSpacing/>
    </w:pPr>
  </w:style>
  <w:style w:type="paragraph" w:customStyle="1" w:styleId="Contenutocornice">
    <w:name w:val="Contenuto cornice"/>
    <w:basedOn w:val="Normale"/>
    <w:qFormat/>
  </w:style>
  <w:style w:type="paragraph" w:styleId="Nessunaspaziatura">
    <w:name w:val="No Spacing"/>
    <w:qFormat/>
    <w:rPr>
      <w:rFonts w:ascii="Calibri" w:eastAsia="Calibri" w:hAnsi="Calibri"/>
      <w:color w:val="00000A"/>
      <w:sz w:val="22"/>
    </w:rPr>
  </w:style>
  <w:style w:type="paragraph" w:customStyle="1" w:styleId="Standard">
    <w:name w:val="Standard"/>
    <w:qFormat/>
    <w:rPr>
      <w:rFonts w:ascii="Liberation Serif" w:eastAsia="Noto Sans CJK SC Regular" w:hAnsi="Liberation Serif" w:cs="FreeSans"/>
      <w:color w:val="00000A"/>
      <w:sz w:val="24"/>
      <w:szCs w:val="24"/>
      <w:lang w:eastAsia="zh-CN" w:bidi="hi-IN"/>
    </w:rPr>
  </w:style>
  <w:style w:type="paragraph" w:styleId="Testonormale">
    <w:name w:val="Plain Text"/>
    <w:basedOn w:val="Normale"/>
    <w:qFormat/>
    <w:pPr>
      <w:spacing w:after="0" w:line="240" w:lineRule="auto"/>
    </w:pPr>
    <w:rPr>
      <w:rFonts w:cs="Calibri"/>
      <w:szCs w:val="21"/>
    </w:rPr>
  </w:style>
  <w:style w:type="paragraph" w:customStyle="1" w:styleId="corpotesto0">
    <w:name w:val="corpotesto"/>
    <w:basedOn w:val="Normale"/>
    <w:qFormat/>
    <w:pPr>
      <w:spacing w:before="280" w:after="280" w:line="240" w:lineRule="auto"/>
    </w:pPr>
    <w:rPr>
      <w:rFonts w:ascii="Times New Roman" w:eastAsia="Times New Roman" w:hAnsi="Times New Roman" w:cs="Times New Roman"/>
      <w:color w:val="3E3E3E"/>
      <w:sz w:val="24"/>
      <w:szCs w:val="24"/>
      <w:lang w:eastAsia="it-IT"/>
    </w:rPr>
  </w:style>
  <w:style w:type="paragraph" w:customStyle="1" w:styleId="Footnote">
    <w:name w:val="Footnote"/>
    <w:basedOn w:val="Standard"/>
    <w:qFormat/>
    <w:pPr>
      <w:suppressLineNumbers/>
      <w:ind w:left="339" w:hanging="339"/>
    </w:pPr>
    <w:rPr>
      <w:sz w:val="20"/>
      <w:szCs w:val="20"/>
    </w:rPr>
  </w:style>
  <w:style w:type="paragraph" w:styleId="NormaleWeb">
    <w:name w:val="Normal (Web)"/>
    <w:basedOn w:val="Normale"/>
    <w:qFormat/>
    <w:pPr>
      <w:suppressAutoHyphens/>
      <w:spacing w:before="280" w:after="119" w:line="240" w:lineRule="auto"/>
      <w:textAlignment w:val="baseline"/>
    </w:pPr>
    <w:rPr>
      <w:rFonts w:ascii="Times New Roman" w:eastAsia="Times New Roman" w:hAnsi="Times New Roman" w:cs="Times New Roman"/>
      <w:sz w:val="24"/>
      <w:szCs w:val="24"/>
      <w:lang w:eastAsia="it-IT"/>
    </w:rPr>
  </w:style>
  <w:style w:type="paragraph" w:customStyle="1" w:styleId="Risultato">
    <w:name w:val="Risultato"/>
    <w:basedOn w:val="Corpotesto"/>
    <w:qFormat/>
    <w:pPr>
      <w:spacing w:after="60"/>
      <w:jc w:val="both"/>
    </w:pPr>
    <w:rPr>
      <w:rFonts w:ascii="Garamond" w:eastAsia="Liberation Serif" w:hAnsi="Garamond"/>
      <w:color w:val="000000"/>
      <w:lang w:eastAsia="ar-SA"/>
    </w:rPr>
  </w:style>
  <w:style w:type="paragraph" w:styleId="PreformattatoHTML">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Liberation Serif" w:hAnsi="Courier New" w:cs="Liberation Serif"/>
      <w:color w:val="000000"/>
      <w:sz w:val="24"/>
      <w:szCs w:val="24"/>
      <w:lang w:eastAsia="ar-SA" w:bidi="hi-IN"/>
    </w:rPr>
  </w:style>
  <w:style w:type="paragraph" w:customStyle="1" w:styleId="CorpoA">
    <w:name w:val="Corpo A"/>
    <w:qFormat/>
    <w:rPr>
      <w:rFonts w:ascii="Helvetica Neue" w:eastAsia="Calibri" w:hAnsi="Helvetica Neue" w:cs="Arial Unicode MS"/>
      <w:color w:val="000000"/>
      <w:sz w:val="22"/>
      <w:u w:color="000000"/>
    </w:rPr>
  </w:style>
  <w:style w:type="character" w:styleId="Collegamentoipertestuale">
    <w:name w:val="Hyperlink"/>
    <w:basedOn w:val="Carpredefinitoparagrafo"/>
    <w:uiPriority w:val="99"/>
    <w:unhideWhenUsed/>
    <w:rsid w:val="003248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77597-1CAC-4DBD-AAFE-BEBFED7F2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2283</TotalTime>
  <Pages>9</Pages>
  <Words>2243</Words>
  <Characters>12787</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 Tricoli</dc:creator>
  <dc:description/>
  <cp:lastModifiedBy>EDiPasquale</cp:lastModifiedBy>
  <cp:revision>121</cp:revision>
  <cp:lastPrinted>2021-03-17T08:50:00Z</cp:lastPrinted>
  <dcterms:created xsi:type="dcterms:W3CDTF">2020-05-04T16:08:00Z</dcterms:created>
  <dcterms:modified xsi:type="dcterms:W3CDTF">2022-10-05T08:32:00Z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ZOTERO_PREF_1">
    <vt:lpwstr>&lt;data data-version="3" zotero-version="5.0.85"&gt;&lt;session id="fVY7Bhhi"/&gt;&lt;style id="http://www.zotero.org/styles/universita-di-bologna-lettere" hasBibliography="1" bibliographyStyleHasBeenSet="0"/&gt;&lt;prefs&gt;&lt;pref name="fieldType" value="Field"/&gt;&lt;pref name="not</vt:lpwstr>
  </property>
  <property fmtid="{D5CDD505-2E9C-101B-9397-08002B2CF9AE}" pid="10" name="ZOTERO_PREF_2">
    <vt:lpwstr>eType" value="1"/&gt;&lt;/prefs&gt;&lt;/data&gt;</vt:lpwstr>
  </property>
</Properties>
</file>